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5E08" w14:textId="02415F21" w:rsidR="00BF3EDC" w:rsidRPr="00BF7956" w:rsidRDefault="00BF3EDC" w:rsidP="00BF3EDC">
      <w:pPr>
        <w:jc w:val="right"/>
        <w:rPr>
          <w:b/>
          <w:sz w:val="20"/>
          <w:szCs w:val="20"/>
          <w:lang w:val="ro-RO"/>
        </w:rPr>
      </w:pPr>
      <w:r w:rsidRPr="00BF7956">
        <w:rPr>
          <w:b/>
          <w:sz w:val="20"/>
          <w:szCs w:val="20"/>
          <w:lang w:val="ro-RO"/>
        </w:rPr>
        <w:t>UE</w:t>
      </w:r>
    </w:p>
    <w:p w14:paraId="7A5C394E" w14:textId="77777777" w:rsidR="00BF3EDC" w:rsidRPr="00BF7956" w:rsidRDefault="00BF3EDC" w:rsidP="00BF3EDC">
      <w:pPr>
        <w:jc w:val="right"/>
        <w:rPr>
          <w:b/>
          <w:sz w:val="20"/>
          <w:szCs w:val="20"/>
          <w:lang w:val="ro-RO"/>
        </w:rPr>
      </w:pPr>
    </w:p>
    <w:p w14:paraId="4AB1C828" w14:textId="77777777" w:rsidR="00BF3EDC" w:rsidRPr="00BF7956" w:rsidRDefault="00BF3EDC" w:rsidP="00BF3EDC">
      <w:pPr>
        <w:jc w:val="right"/>
        <w:rPr>
          <w:b/>
          <w:sz w:val="20"/>
          <w:szCs w:val="20"/>
          <w:lang w:val="ro-RO"/>
        </w:rPr>
      </w:pPr>
    </w:p>
    <w:p w14:paraId="1ED3133B" w14:textId="6D2D16CB" w:rsidR="00BB098E" w:rsidRPr="00BF7956" w:rsidRDefault="00BB098E" w:rsidP="00BB098E">
      <w:pPr>
        <w:jc w:val="center"/>
        <w:rPr>
          <w:b/>
          <w:sz w:val="20"/>
          <w:szCs w:val="20"/>
          <w:lang w:val="ro-RO"/>
        </w:rPr>
      </w:pPr>
      <w:r w:rsidRPr="00BF7956">
        <w:rPr>
          <w:b/>
          <w:sz w:val="20"/>
          <w:szCs w:val="20"/>
          <w:lang w:val="ro-RO"/>
        </w:rPr>
        <w:t>Tabelul de concordanţă</w:t>
      </w:r>
    </w:p>
    <w:p w14:paraId="229578CE" w14:textId="77777777" w:rsidR="00BB098E" w:rsidRPr="00BF7956" w:rsidRDefault="00BB098E" w:rsidP="00BB098E">
      <w:pPr>
        <w:jc w:val="center"/>
        <w:rPr>
          <w:b/>
          <w:sz w:val="20"/>
          <w:szCs w:val="20"/>
          <w:lang w:val="ro-RO"/>
        </w:rPr>
      </w:pPr>
      <w:r w:rsidRPr="00BF7956">
        <w:rPr>
          <w:b/>
          <w:sz w:val="20"/>
          <w:szCs w:val="20"/>
          <w:lang w:val="ro-RO"/>
        </w:rPr>
        <w:t>al Instrucțiunii cu privire la prezentarea de către bănci a rapoa</w:t>
      </w:r>
      <w:bookmarkStart w:id="0" w:name="_GoBack"/>
      <w:bookmarkEnd w:id="0"/>
      <w:r w:rsidRPr="00BF7956">
        <w:rPr>
          <w:b/>
          <w:sz w:val="20"/>
          <w:szCs w:val="20"/>
          <w:lang w:val="ro-RO"/>
        </w:rPr>
        <w:t>rtelor COREP în scopuri de supraveghere, aprobate</w:t>
      </w:r>
    </w:p>
    <w:p w14:paraId="5B483D6B" w14:textId="77777777" w:rsidR="00BB098E" w:rsidRPr="00BF7956" w:rsidRDefault="00BB098E" w:rsidP="00BB098E">
      <w:pPr>
        <w:jc w:val="center"/>
        <w:rPr>
          <w:b/>
          <w:sz w:val="20"/>
          <w:szCs w:val="20"/>
          <w:lang w:val="ro-RO"/>
        </w:rPr>
      </w:pPr>
      <w:r w:rsidRPr="00BF7956">
        <w:rPr>
          <w:b/>
          <w:sz w:val="20"/>
          <w:szCs w:val="20"/>
          <w:lang w:val="ro-RO"/>
        </w:rPr>
        <w:t>prin Hotărârea Comitetului executiv al Băncii Naţionale a Moldovei nr. 117/2018 cu</w:t>
      </w:r>
    </w:p>
    <w:p w14:paraId="7D690FC1" w14:textId="77777777" w:rsidR="00BB098E" w:rsidRPr="00BF7956" w:rsidRDefault="00BB098E" w:rsidP="00BB098E">
      <w:pPr>
        <w:jc w:val="center"/>
        <w:rPr>
          <w:rFonts w:eastAsia="Arial Unicode MS"/>
          <w:b/>
          <w:bCs/>
          <w:sz w:val="20"/>
          <w:szCs w:val="20"/>
          <w:lang w:val="it-IT"/>
        </w:rPr>
      </w:pPr>
      <w:r w:rsidRPr="00BF7956">
        <w:rPr>
          <w:sz w:val="20"/>
          <w:szCs w:val="20"/>
          <w:lang w:val="it-IT"/>
        </w:rPr>
        <w:t xml:space="preserve"> </w:t>
      </w:r>
    </w:p>
    <w:p w14:paraId="428E4FCE" w14:textId="77777777" w:rsidR="00BB098E" w:rsidRPr="00BF7956" w:rsidRDefault="00BB098E" w:rsidP="00BB098E">
      <w:pPr>
        <w:jc w:val="center"/>
        <w:rPr>
          <w:rFonts w:eastAsia="Arial Unicode MS"/>
          <w:b/>
          <w:bCs/>
          <w:sz w:val="20"/>
          <w:szCs w:val="20"/>
          <w:lang w:val="it-IT"/>
        </w:rPr>
      </w:pPr>
    </w:p>
    <w:p w14:paraId="689872DE" w14:textId="77777777" w:rsidR="00BB098E" w:rsidRPr="00BF7956" w:rsidRDefault="00BB098E" w:rsidP="00BB098E">
      <w:pPr>
        <w:jc w:val="center"/>
        <w:rPr>
          <w:rFonts w:eastAsia="Arial Unicode MS"/>
          <w:b/>
          <w:bCs/>
          <w:sz w:val="20"/>
          <w:szCs w:val="20"/>
          <w:lang w:val="it-IT"/>
        </w:rPr>
      </w:pPr>
      <w:r w:rsidRPr="00BF7956">
        <w:rPr>
          <w:rFonts w:eastAsia="Arial Unicode MS"/>
          <w:b/>
          <w:bCs/>
          <w:sz w:val="20"/>
          <w:szCs w:val="20"/>
          <w:lang w:val="it-IT"/>
        </w:rPr>
        <w:t xml:space="preserve">REGULAMENTUL DE PUNERE ÎN APLICARE (UE) 2021/451 AL COMISIEI </w:t>
      </w:r>
    </w:p>
    <w:p w14:paraId="3B7B911B" w14:textId="099731B9" w:rsidR="00BB098E" w:rsidRPr="00BF7956" w:rsidRDefault="00C25F84" w:rsidP="00BB098E">
      <w:pPr>
        <w:jc w:val="center"/>
        <w:rPr>
          <w:rFonts w:eastAsia="Arial Unicode MS"/>
          <w:b/>
          <w:bCs/>
          <w:sz w:val="20"/>
          <w:szCs w:val="20"/>
          <w:lang w:val="en-US"/>
        </w:rPr>
      </w:pPr>
      <w:r w:rsidRPr="00BF7956">
        <w:rPr>
          <w:rFonts w:eastAsia="Arial Unicode MS"/>
          <w:b/>
          <w:bCs/>
          <w:sz w:val="20"/>
          <w:szCs w:val="20"/>
          <w:lang w:val="en-US"/>
        </w:rPr>
        <w:t>1</w:t>
      </w:r>
      <w:r w:rsidR="00BB098E" w:rsidRPr="00BF7956">
        <w:rPr>
          <w:rFonts w:eastAsia="Arial Unicode MS"/>
          <w:b/>
          <w:bCs/>
          <w:sz w:val="20"/>
          <w:szCs w:val="20"/>
          <w:lang w:val="en-US"/>
        </w:rPr>
        <w:t xml:space="preserve">din 17 decembrie 2020 </w:t>
      </w:r>
    </w:p>
    <w:tbl>
      <w:tblPr>
        <w:tblStyle w:val="TableGrid"/>
        <w:tblW w:w="0" w:type="auto"/>
        <w:tblLook w:val="04A0" w:firstRow="1" w:lastRow="0" w:firstColumn="1" w:lastColumn="0" w:noHBand="0" w:noVBand="1"/>
      </w:tblPr>
      <w:tblGrid>
        <w:gridCol w:w="14560"/>
      </w:tblGrid>
      <w:tr w:rsidR="00BB098E" w:rsidRPr="002C43F1" w14:paraId="0D7B9173" w14:textId="77777777" w:rsidTr="00D77A38">
        <w:tc>
          <w:tcPr>
            <w:tcW w:w="14786" w:type="dxa"/>
          </w:tcPr>
          <w:p w14:paraId="0E7A8636" w14:textId="68F1EEFC" w:rsidR="00BB098E" w:rsidRPr="00BF7956" w:rsidRDefault="00C25F84" w:rsidP="00C25F84">
            <w:pPr>
              <w:pStyle w:val="ListParagraph"/>
              <w:numPr>
                <w:ilvl w:val="0"/>
                <w:numId w:val="1"/>
              </w:numPr>
              <w:tabs>
                <w:tab w:val="left" w:pos="288"/>
              </w:tabs>
              <w:ind w:left="29" w:firstLine="0"/>
              <w:jc w:val="both"/>
              <w:rPr>
                <w:b/>
                <w:bCs/>
                <w:sz w:val="20"/>
                <w:szCs w:val="20"/>
                <w:lang w:val="ro-RO"/>
              </w:rPr>
            </w:pPr>
            <w:r w:rsidRPr="00BF7956">
              <w:rPr>
                <w:rFonts w:eastAsia="Arial Unicode MS"/>
                <w:b/>
                <w:bCs/>
                <w:sz w:val="20"/>
                <w:szCs w:val="20"/>
                <w:lang w:val="it-IT"/>
              </w:rPr>
              <w:t>Titlul actului Uniunii Europene, inclusiv cele mai recente amendamente incluse</w:t>
            </w:r>
          </w:p>
        </w:tc>
      </w:tr>
      <w:tr w:rsidR="00BB098E" w:rsidRPr="002C43F1" w14:paraId="6479C72E" w14:textId="77777777" w:rsidTr="00D77A38">
        <w:trPr>
          <w:trHeight w:val="994"/>
        </w:trPr>
        <w:tc>
          <w:tcPr>
            <w:tcW w:w="14786" w:type="dxa"/>
            <w:vAlign w:val="center"/>
          </w:tcPr>
          <w:p w14:paraId="5887955C" w14:textId="3EE462AD" w:rsidR="00BB098E" w:rsidRPr="00BF7956" w:rsidRDefault="00BB098E" w:rsidP="00D77A38">
            <w:pPr>
              <w:jc w:val="both"/>
              <w:rPr>
                <w:b/>
                <w:bCs/>
                <w:sz w:val="20"/>
                <w:szCs w:val="20"/>
                <w:lang w:val="ro-RO"/>
              </w:rPr>
            </w:pPr>
            <w:r w:rsidRPr="00BF7956">
              <w:rPr>
                <w:rFonts w:eastAsia="Arial Unicode MS"/>
                <w:b/>
                <w:bCs/>
                <w:sz w:val="20"/>
                <w:szCs w:val="20"/>
                <w:lang w:val="ro-RO"/>
              </w:rPr>
              <w:t>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p>
        </w:tc>
      </w:tr>
      <w:tr w:rsidR="00BB098E" w:rsidRPr="002C43F1" w14:paraId="290C3E38" w14:textId="77777777" w:rsidTr="00D77A38">
        <w:tc>
          <w:tcPr>
            <w:tcW w:w="14786" w:type="dxa"/>
          </w:tcPr>
          <w:p w14:paraId="2EDB2AF8" w14:textId="61973D96" w:rsidR="00BB098E" w:rsidRPr="00BF7956" w:rsidRDefault="00C25F84" w:rsidP="00C25F84">
            <w:pPr>
              <w:pStyle w:val="ListParagraph"/>
              <w:numPr>
                <w:ilvl w:val="0"/>
                <w:numId w:val="1"/>
              </w:numPr>
              <w:tabs>
                <w:tab w:val="left" w:pos="284"/>
              </w:tabs>
              <w:ind w:left="29" w:firstLine="0"/>
              <w:jc w:val="both"/>
              <w:rPr>
                <w:b/>
                <w:bCs/>
                <w:sz w:val="20"/>
                <w:szCs w:val="20"/>
                <w:lang w:val="ro-RO"/>
              </w:rPr>
            </w:pPr>
            <w:r w:rsidRPr="00BF7956">
              <w:rPr>
                <w:b/>
                <w:bCs/>
                <w:sz w:val="20"/>
                <w:szCs w:val="20"/>
                <w:lang w:val="ro-RO"/>
              </w:rPr>
              <w:t>Titlul proiectului de act normativ naţional</w:t>
            </w:r>
          </w:p>
        </w:tc>
      </w:tr>
      <w:tr w:rsidR="00BB098E" w:rsidRPr="002C43F1" w14:paraId="3E560C62" w14:textId="77777777" w:rsidTr="00D77A38">
        <w:tc>
          <w:tcPr>
            <w:tcW w:w="14786" w:type="dxa"/>
          </w:tcPr>
          <w:p w14:paraId="55BBA0D1" w14:textId="77777777" w:rsidR="00BB098E" w:rsidRPr="00BF7956" w:rsidRDefault="00BB098E" w:rsidP="00D77A38">
            <w:pPr>
              <w:autoSpaceDE w:val="0"/>
              <w:autoSpaceDN w:val="0"/>
              <w:adjustRightInd w:val="0"/>
              <w:spacing w:before="60" w:after="60"/>
              <w:rPr>
                <w:color w:val="000000"/>
                <w:sz w:val="20"/>
                <w:szCs w:val="20"/>
                <w:lang w:val="ro-RO"/>
              </w:rPr>
            </w:pPr>
            <w:r w:rsidRPr="00BF7956">
              <w:rPr>
                <w:b/>
                <w:bCs/>
                <w:color w:val="000000"/>
                <w:sz w:val="20"/>
                <w:szCs w:val="20"/>
                <w:lang w:val="ro-RO"/>
              </w:rPr>
              <w:t>Hotărârea Comitetului executiv al Băncii Naţionale a Moldovei nr.XX/2022 privind modificarea Instrucțiunii cu privire la prezentarea de către bănci a rapoartelor COREP în scopuri de supraveghere, aprobate prin Hotărârea Comitetului executiv al Băncii Naţionale a Moldovei nr. 117/2018</w:t>
            </w:r>
          </w:p>
          <w:p w14:paraId="1A154DCA" w14:textId="77777777" w:rsidR="00BB098E" w:rsidRPr="00BF7956" w:rsidRDefault="00BB098E" w:rsidP="00D77A38">
            <w:pPr>
              <w:jc w:val="both"/>
              <w:rPr>
                <w:bCs/>
                <w:sz w:val="20"/>
                <w:szCs w:val="20"/>
                <w:lang w:val="ro-RO"/>
              </w:rPr>
            </w:pPr>
          </w:p>
        </w:tc>
      </w:tr>
      <w:tr w:rsidR="00BB098E" w:rsidRPr="002C43F1" w14:paraId="77614BE6" w14:textId="77777777" w:rsidTr="00D77A38">
        <w:tc>
          <w:tcPr>
            <w:tcW w:w="14786" w:type="dxa"/>
          </w:tcPr>
          <w:p w14:paraId="0625E8D1" w14:textId="77777777" w:rsidR="00BB098E" w:rsidRPr="00BF7956" w:rsidRDefault="00BB098E" w:rsidP="00D77A38">
            <w:pPr>
              <w:jc w:val="both"/>
              <w:rPr>
                <w:sz w:val="20"/>
                <w:szCs w:val="20"/>
                <w:lang w:val="ro-RO"/>
              </w:rPr>
            </w:pPr>
            <w:r w:rsidRPr="00BF7956">
              <w:rPr>
                <w:b/>
                <w:bCs/>
                <w:sz w:val="20"/>
                <w:szCs w:val="20"/>
                <w:lang w:val="ro-RO"/>
              </w:rPr>
              <w:t xml:space="preserve">3. Gradul de compatibilitate - </w:t>
            </w:r>
            <w:r w:rsidRPr="00BF7956">
              <w:rPr>
                <w:rFonts w:eastAsia="MS Mincho"/>
                <w:bCs/>
                <w:sz w:val="20"/>
                <w:szCs w:val="20"/>
                <w:lang w:val="ro-RO"/>
              </w:rPr>
              <w:t>parţial compatibil</w:t>
            </w:r>
          </w:p>
        </w:tc>
      </w:tr>
    </w:tbl>
    <w:p w14:paraId="6AA9BCAD" w14:textId="77777777" w:rsidR="00BB098E" w:rsidRPr="00BF7956" w:rsidRDefault="00BB098E" w:rsidP="00BB098E">
      <w:pPr>
        <w:jc w:val="both"/>
        <w:rPr>
          <w:b/>
          <w:bCs/>
          <w:sz w:val="20"/>
          <w:szCs w:val="20"/>
          <w:lang w:val="ro-RO"/>
        </w:rPr>
      </w:pPr>
    </w:p>
    <w:tbl>
      <w:tblPr>
        <w:tblpPr w:leftFromText="180" w:rightFromText="180" w:vertAnchor="text" w:horzAnchor="margin" w:tblpY="13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6"/>
        <w:gridCol w:w="4536"/>
        <w:gridCol w:w="1418"/>
        <w:gridCol w:w="2223"/>
        <w:gridCol w:w="1134"/>
        <w:gridCol w:w="992"/>
      </w:tblGrid>
      <w:tr w:rsidR="00CC6818" w:rsidRPr="00BF7956" w14:paraId="711481E5" w14:textId="77777777" w:rsidTr="00C25F84">
        <w:trPr>
          <w:trHeight w:val="723"/>
          <w:tblHeader/>
        </w:trPr>
        <w:tc>
          <w:tcPr>
            <w:tcW w:w="4576" w:type="dxa"/>
          </w:tcPr>
          <w:p w14:paraId="2E700EF8" w14:textId="77777777" w:rsidR="00CC6818" w:rsidRPr="00BF7956" w:rsidRDefault="00CC6818" w:rsidP="00CC6818">
            <w:pPr>
              <w:jc w:val="both"/>
              <w:rPr>
                <w:b/>
                <w:bCs/>
                <w:sz w:val="20"/>
                <w:szCs w:val="20"/>
                <w:lang w:val="ro-RO"/>
              </w:rPr>
            </w:pPr>
            <w:r w:rsidRPr="00BF7956">
              <w:rPr>
                <w:b/>
                <w:sz w:val="20"/>
                <w:szCs w:val="20"/>
                <w:lang w:val="ro-RO"/>
              </w:rPr>
              <w:t>Actul Uniunii Europene</w:t>
            </w:r>
          </w:p>
        </w:tc>
        <w:tc>
          <w:tcPr>
            <w:tcW w:w="4536" w:type="dxa"/>
          </w:tcPr>
          <w:p w14:paraId="1BFB0302" w14:textId="77777777" w:rsidR="00CC6818" w:rsidRPr="00BF7956" w:rsidRDefault="00CC6818" w:rsidP="00CC6818">
            <w:pPr>
              <w:jc w:val="both"/>
              <w:rPr>
                <w:bCs/>
                <w:sz w:val="20"/>
                <w:szCs w:val="20"/>
                <w:lang w:val="ro-RO"/>
              </w:rPr>
            </w:pPr>
            <w:r w:rsidRPr="00BF7956">
              <w:rPr>
                <w:b/>
                <w:sz w:val="20"/>
                <w:szCs w:val="20"/>
                <w:lang w:val="ro-RO"/>
              </w:rPr>
              <w:t>Proiectul de act normativ național</w:t>
            </w:r>
          </w:p>
        </w:tc>
        <w:tc>
          <w:tcPr>
            <w:tcW w:w="1418" w:type="dxa"/>
          </w:tcPr>
          <w:p w14:paraId="07AF1F13" w14:textId="77777777" w:rsidR="00CC6818" w:rsidRPr="00BF7956" w:rsidRDefault="00CC6818" w:rsidP="00C25F84">
            <w:pPr>
              <w:ind w:left="-84" w:right="-112"/>
              <w:rPr>
                <w:b/>
                <w:bCs/>
                <w:sz w:val="20"/>
                <w:szCs w:val="20"/>
                <w:lang w:val="ro-RO"/>
              </w:rPr>
            </w:pPr>
            <w:r w:rsidRPr="00BF7956">
              <w:rPr>
                <w:b/>
                <w:sz w:val="20"/>
                <w:szCs w:val="20"/>
                <w:lang w:val="ro-RO"/>
              </w:rPr>
              <w:t>Gradul de compatibilitate</w:t>
            </w:r>
          </w:p>
        </w:tc>
        <w:tc>
          <w:tcPr>
            <w:tcW w:w="2223" w:type="dxa"/>
          </w:tcPr>
          <w:p w14:paraId="6447C9FB" w14:textId="77777777" w:rsidR="00CC6818" w:rsidRPr="00BF7956" w:rsidRDefault="00CC6818" w:rsidP="00CC6818">
            <w:pPr>
              <w:jc w:val="both"/>
              <w:rPr>
                <w:b/>
                <w:bCs/>
                <w:sz w:val="20"/>
                <w:szCs w:val="20"/>
                <w:lang w:val="ro-RO"/>
              </w:rPr>
            </w:pPr>
            <w:r w:rsidRPr="00BF7956">
              <w:rPr>
                <w:b/>
                <w:sz w:val="20"/>
                <w:szCs w:val="20"/>
                <w:lang w:val="ro-RO"/>
              </w:rPr>
              <w:t>Diferențele</w:t>
            </w:r>
          </w:p>
        </w:tc>
        <w:tc>
          <w:tcPr>
            <w:tcW w:w="1134" w:type="dxa"/>
          </w:tcPr>
          <w:p w14:paraId="311C9739" w14:textId="77777777" w:rsidR="00CC6818" w:rsidRPr="00BF7956" w:rsidRDefault="00CC6818" w:rsidP="00CC6818">
            <w:pPr>
              <w:jc w:val="both"/>
              <w:rPr>
                <w:b/>
                <w:bCs/>
                <w:sz w:val="20"/>
                <w:szCs w:val="20"/>
                <w:lang w:val="ro-RO"/>
              </w:rPr>
            </w:pPr>
            <w:r w:rsidRPr="00BF7956">
              <w:rPr>
                <w:b/>
                <w:sz w:val="20"/>
                <w:szCs w:val="20"/>
                <w:lang w:val="ro-RO"/>
              </w:rPr>
              <w:t>Observațiile</w:t>
            </w:r>
          </w:p>
        </w:tc>
        <w:tc>
          <w:tcPr>
            <w:tcW w:w="992" w:type="dxa"/>
          </w:tcPr>
          <w:p w14:paraId="30E234E8" w14:textId="0DC93B9C" w:rsidR="00CC6818" w:rsidRPr="00BF7956" w:rsidRDefault="00C25F84" w:rsidP="00CC6818">
            <w:pPr>
              <w:jc w:val="both"/>
              <w:rPr>
                <w:b/>
                <w:bCs/>
                <w:sz w:val="20"/>
                <w:szCs w:val="20"/>
                <w:lang w:val="ro-RO"/>
              </w:rPr>
            </w:pPr>
            <w:r w:rsidRPr="00BF7956">
              <w:rPr>
                <w:b/>
                <w:sz w:val="20"/>
                <w:szCs w:val="20"/>
                <w:lang w:val="ro-RO"/>
              </w:rPr>
              <w:t>Autoritatea/ persoana responsabilă</w:t>
            </w:r>
          </w:p>
        </w:tc>
      </w:tr>
      <w:tr w:rsidR="00CC6818" w:rsidRPr="00BF7956" w14:paraId="627DA716" w14:textId="77777777" w:rsidTr="00C25F84">
        <w:trPr>
          <w:tblHeader/>
        </w:trPr>
        <w:tc>
          <w:tcPr>
            <w:tcW w:w="4576" w:type="dxa"/>
          </w:tcPr>
          <w:p w14:paraId="3AC81152" w14:textId="77777777" w:rsidR="00CC6818" w:rsidRPr="00BF7956" w:rsidRDefault="00CC6818" w:rsidP="00CC6818">
            <w:pPr>
              <w:pStyle w:val="BodyTextIndent"/>
              <w:spacing w:before="0"/>
              <w:ind w:firstLine="0"/>
              <w:rPr>
                <w:rFonts w:eastAsia="MS Mincho"/>
                <w:b/>
                <w:sz w:val="20"/>
                <w:szCs w:val="20"/>
                <w:lang w:val="ro-RO"/>
              </w:rPr>
            </w:pPr>
            <w:r w:rsidRPr="00BF7956">
              <w:rPr>
                <w:rFonts w:eastAsia="MS Mincho"/>
                <w:b/>
                <w:sz w:val="20"/>
                <w:szCs w:val="20"/>
                <w:lang w:val="ro-RO"/>
              </w:rPr>
              <w:t>4</w:t>
            </w:r>
          </w:p>
        </w:tc>
        <w:tc>
          <w:tcPr>
            <w:tcW w:w="4536" w:type="dxa"/>
          </w:tcPr>
          <w:p w14:paraId="284D5C9E" w14:textId="77777777" w:rsidR="00CC6818" w:rsidRPr="00BF7956" w:rsidRDefault="00CC6818" w:rsidP="00CC6818">
            <w:pPr>
              <w:pStyle w:val="PlainText"/>
              <w:jc w:val="both"/>
              <w:rPr>
                <w:rFonts w:ascii="Times New Roman" w:eastAsia="MS Mincho" w:hAnsi="Times New Roman" w:cs="Times New Roman"/>
                <w:b/>
                <w:lang w:val="ro-RO"/>
              </w:rPr>
            </w:pPr>
            <w:r w:rsidRPr="00BF7956">
              <w:rPr>
                <w:rFonts w:ascii="Times New Roman" w:eastAsia="MS Mincho" w:hAnsi="Times New Roman" w:cs="Times New Roman"/>
                <w:b/>
                <w:lang w:val="ro-RO"/>
              </w:rPr>
              <w:t>5</w:t>
            </w:r>
          </w:p>
        </w:tc>
        <w:tc>
          <w:tcPr>
            <w:tcW w:w="1418" w:type="dxa"/>
          </w:tcPr>
          <w:p w14:paraId="3AE6ED78" w14:textId="77777777" w:rsidR="00CC6818" w:rsidRPr="00BF7956" w:rsidRDefault="00CC6818" w:rsidP="00CC6818">
            <w:pPr>
              <w:jc w:val="both"/>
              <w:rPr>
                <w:b/>
                <w:sz w:val="20"/>
                <w:szCs w:val="20"/>
                <w:lang w:val="ro-RO"/>
              </w:rPr>
            </w:pPr>
            <w:r w:rsidRPr="00BF7956">
              <w:rPr>
                <w:b/>
                <w:sz w:val="20"/>
                <w:szCs w:val="20"/>
                <w:lang w:val="ro-RO"/>
              </w:rPr>
              <w:t>6</w:t>
            </w:r>
          </w:p>
        </w:tc>
        <w:tc>
          <w:tcPr>
            <w:tcW w:w="2223" w:type="dxa"/>
          </w:tcPr>
          <w:p w14:paraId="4830E6CA" w14:textId="77777777" w:rsidR="00CC6818" w:rsidRPr="00BF7956" w:rsidRDefault="00CC6818" w:rsidP="00CC6818">
            <w:pPr>
              <w:jc w:val="both"/>
              <w:rPr>
                <w:b/>
                <w:sz w:val="20"/>
                <w:szCs w:val="20"/>
                <w:lang w:val="ro-RO"/>
              </w:rPr>
            </w:pPr>
            <w:r w:rsidRPr="00BF7956">
              <w:rPr>
                <w:b/>
                <w:sz w:val="20"/>
                <w:szCs w:val="20"/>
                <w:lang w:val="ro-RO"/>
              </w:rPr>
              <w:t>7</w:t>
            </w:r>
          </w:p>
        </w:tc>
        <w:tc>
          <w:tcPr>
            <w:tcW w:w="1134" w:type="dxa"/>
            <w:tcBorders>
              <w:bottom w:val="single" w:sz="4" w:space="0" w:color="auto"/>
            </w:tcBorders>
          </w:tcPr>
          <w:p w14:paraId="1712B731" w14:textId="77777777" w:rsidR="00CC6818" w:rsidRPr="00BF7956" w:rsidRDefault="00CC6818" w:rsidP="00CC6818">
            <w:pPr>
              <w:jc w:val="both"/>
              <w:rPr>
                <w:b/>
                <w:sz w:val="20"/>
                <w:szCs w:val="20"/>
                <w:lang w:val="ro-RO"/>
              </w:rPr>
            </w:pPr>
            <w:r w:rsidRPr="00BF7956">
              <w:rPr>
                <w:b/>
                <w:sz w:val="20"/>
                <w:szCs w:val="20"/>
                <w:lang w:val="ro-RO"/>
              </w:rPr>
              <w:t>8</w:t>
            </w:r>
          </w:p>
        </w:tc>
        <w:tc>
          <w:tcPr>
            <w:tcW w:w="992" w:type="dxa"/>
          </w:tcPr>
          <w:p w14:paraId="440A842E" w14:textId="77777777" w:rsidR="00CC6818" w:rsidRPr="00BF7956" w:rsidRDefault="00CC6818" w:rsidP="00CC6818">
            <w:pPr>
              <w:jc w:val="both"/>
              <w:rPr>
                <w:b/>
                <w:sz w:val="20"/>
                <w:szCs w:val="20"/>
                <w:lang w:val="ro-RO"/>
              </w:rPr>
            </w:pPr>
            <w:r w:rsidRPr="00BF7956">
              <w:rPr>
                <w:b/>
                <w:sz w:val="20"/>
                <w:szCs w:val="20"/>
                <w:lang w:val="ro-RO"/>
              </w:rPr>
              <w:t>9</w:t>
            </w:r>
          </w:p>
        </w:tc>
      </w:tr>
      <w:tr w:rsidR="00CC6818" w:rsidRPr="00BF7956" w14:paraId="7A56033F" w14:textId="77777777" w:rsidTr="00C25F84">
        <w:tc>
          <w:tcPr>
            <w:tcW w:w="4576" w:type="dxa"/>
          </w:tcPr>
          <w:p w14:paraId="097FD0AF" w14:textId="77777777" w:rsidR="00CC6818" w:rsidRPr="00BF7956" w:rsidRDefault="00CC6818" w:rsidP="00CC6818">
            <w:pPr>
              <w:jc w:val="both"/>
              <w:rPr>
                <w:rFonts w:eastAsia="Arial Unicode MS"/>
                <w:b/>
                <w:bCs/>
                <w:sz w:val="20"/>
                <w:szCs w:val="20"/>
                <w:lang w:val="ro-RO"/>
              </w:rPr>
            </w:pPr>
            <w:r w:rsidRPr="00BF7956">
              <w:rPr>
                <w:rFonts w:eastAsia="Arial Unicode MS"/>
                <w:b/>
                <w:bCs/>
                <w:sz w:val="20"/>
                <w:szCs w:val="20"/>
                <w:lang w:val="ro-RO"/>
              </w:rPr>
              <w:t xml:space="preserve">REGULAMENTUL DE PUNERE ÎN APLICARE (UE) 2021/451 AL COMISIEI din 17 decembrie 2020 </w:t>
            </w:r>
          </w:p>
          <w:p w14:paraId="07758D50" w14:textId="77777777" w:rsidR="00CC6818" w:rsidRPr="00BF7956" w:rsidRDefault="00CC6818" w:rsidP="00CC6818">
            <w:pPr>
              <w:jc w:val="both"/>
              <w:rPr>
                <w:rFonts w:eastAsia="Arial Unicode MS"/>
                <w:b/>
                <w:bCs/>
                <w:sz w:val="20"/>
                <w:szCs w:val="20"/>
                <w:lang w:val="ro-RO"/>
              </w:rPr>
            </w:pPr>
            <w:r w:rsidRPr="00BF7956">
              <w:rPr>
                <w:rFonts w:eastAsia="Arial Unicode MS"/>
                <w:b/>
                <w:bCs/>
                <w:sz w:val="20"/>
                <w:szCs w:val="20"/>
                <w:lang w:val="ro-RO"/>
              </w:rPr>
              <w:t>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w:t>
            </w:r>
          </w:p>
          <w:p w14:paraId="43BAF155" w14:textId="77777777" w:rsidR="00CC6818" w:rsidRPr="00BF7956" w:rsidRDefault="00CC6818" w:rsidP="00CC6818">
            <w:pPr>
              <w:jc w:val="both"/>
              <w:rPr>
                <w:b/>
                <w:sz w:val="20"/>
                <w:szCs w:val="20"/>
                <w:lang w:val="ro-RO"/>
              </w:rPr>
            </w:pPr>
          </w:p>
        </w:tc>
        <w:tc>
          <w:tcPr>
            <w:tcW w:w="4536" w:type="dxa"/>
            <w:shd w:val="clear" w:color="auto" w:fill="auto"/>
          </w:tcPr>
          <w:p w14:paraId="75C9175A" w14:textId="77777777" w:rsidR="00CC6818" w:rsidRPr="00BF7956" w:rsidRDefault="00CC6818" w:rsidP="00CC6818">
            <w:pPr>
              <w:jc w:val="both"/>
              <w:rPr>
                <w:b/>
                <w:sz w:val="20"/>
                <w:szCs w:val="20"/>
                <w:lang w:val="ro-RO"/>
              </w:rPr>
            </w:pPr>
          </w:p>
        </w:tc>
        <w:tc>
          <w:tcPr>
            <w:tcW w:w="1418" w:type="dxa"/>
          </w:tcPr>
          <w:p w14:paraId="3E91D0DB" w14:textId="77777777" w:rsidR="00CC6818" w:rsidRPr="00BF7956" w:rsidRDefault="00CC6818" w:rsidP="00CC6818">
            <w:pPr>
              <w:jc w:val="both"/>
              <w:rPr>
                <w:b/>
                <w:strike/>
                <w:sz w:val="20"/>
                <w:szCs w:val="20"/>
                <w:lang w:val="ro-RO"/>
              </w:rPr>
            </w:pPr>
          </w:p>
        </w:tc>
        <w:tc>
          <w:tcPr>
            <w:tcW w:w="2223" w:type="dxa"/>
          </w:tcPr>
          <w:p w14:paraId="7B063074" w14:textId="77777777" w:rsidR="00CC6818" w:rsidRPr="00BF7956" w:rsidRDefault="00CC6818" w:rsidP="00CC6818">
            <w:pPr>
              <w:jc w:val="both"/>
              <w:rPr>
                <w:sz w:val="20"/>
                <w:szCs w:val="20"/>
                <w:lang w:val="ro-RO"/>
              </w:rPr>
            </w:pPr>
          </w:p>
        </w:tc>
        <w:tc>
          <w:tcPr>
            <w:tcW w:w="1134" w:type="dxa"/>
            <w:tcBorders>
              <w:top w:val="single" w:sz="4" w:space="0" w:color="auto"/>
              <w:bottom w:val="single" w:sz="4" w:space="0" w:color="auto"/>
            </w:tcBorders>
          </w:tcPr>
          <w:p w14:paraId="377DDC9C" w14:textId="77777777" w:rsidR="00CC6818" w:rsidRPr="00BF7956" w:rsidRDefault="00CC6818" w:rsidP="00CC6818">
            <w:pPr>
              <w:jc w:val="both"/>
              <w:rPr>
                <w:sz w:val="20"/>
                <w:szCs w:val="20"/>
                <w:lang w:val="ro-RO"/>
              </w:rPr>
            </w:pPr>
            <w:r w:rsidRPr="00BF7956">
              <w:rPr>
                <w:sz w:val="20"/>
                <w:szCs w:val="20"/>
                <w:lang w:val="ro-RO"/>
              </w:rPr>
              <w:t>Banca Naţională a Moldovei,</w:t>
            </w:r>
          </w:p>
          <w:p w14:paraId="728519EC" w14:textId="77777777" w:rsidR="00CC6818" w:rsidRPr="00BF7956" w:rsidRDefault="00CC6818" w:rsidP="00CC6818">
            <w:pPr>
              <w:jc w:val="both"/>
              <w:rPr>
                <w:strike/>
                <w:sz w:val="20"/>
                <w:szCs w:val="20"/>
                <w:lang w:val="ro-RO"/>
              </w:rPr>
            </w:pPr>
          </w:p>
        </w:tc>
        <w:tc>
          <w:tcPr>
            <w:tcW w:w="992" w:type="dxa"/>
            <w:tcBorders>
              <w:bottom w:val="single" w:sz="4" w:space="0" w:color="auto"/>
            </w:tcBorders>
          </w:tcPr>
          <w:p w14:paraId="774056FC" w14:textId="77777777" w:rsidR="00CC6818" w:rsidRPr="00BF7956" w:rsidRDefault="00CC6818" w:rsidP="00CC6818">
            <w:pPr>
              <w:jc w:val="both"/>
              <w:rPr>
                <w:sz w:val="20"/>
                <w:szCs w:val="20"/>
                <w:lang w:val="ro-RO"/>
              </w:rPr>
            </w:pPr>
          </w:p>
        </w:tc>
      </w:tr>
      <w:tr w:rsidR="00BA735E" w:rsidRPr="002C43F1" w14:paraId="4EFFBBA8" w14:textId="77777777" w:rsidTr="00C25F84">
        <w:tc>
          <w:tcPr>
            <w:tcW w:w="4576" w:type="dxa"/>
          </w:tcPr>
          <w:p w14:paraId="2CC98377" w14:textId="77777777" w:rsidR="00BA735E" w:rsidRPr="00BF7956" w:rsidRDefault="00BA735E" w:rsidP="00BA735E">
            <w:pPr>
              <w:pStyle w:val="CM4"/>
              <w:spacing w:before="60" w:after="60"/>
              <w:rPr>
                <w:color w:val="000000"/>
                <w:sz w:val="20"/>
                <w:szCs w:val="20"/>
              </w:rPr>
            </w:pPr>
            <w:r w:rsidRPr="00BF7956">
              <w:rPr>
                <w:i/>
                <w:iCs/>
                <w:color w:val="000000"/>
                <w:sz w:val="20"/>
                <w:szCs w:val="20"/>
              </w:rPr>
              <w:t xml:space="preserve">Articolul 1 </w:t>
            </w:r>
          </w:p>
          <w:p w14:paraId="6B6E050C" w14:textId="36904A00" w:rsidR="00785C39" w:rsidRPr="00BF7956" w:rsidRDefault="00BA735E" w:rsidP="00785C39">
            <w:pPr>
              <w:jc w:val="both"/>
              <w:rPr>
                <w:b/>
                <w:bCs/>
                <w:color w:val="000000"/>
                <w:sz w:val="20"/>
                <w:szCs w:val="20"/>
                <w:lang w:val="it-IT"/>
              </w:rPr>
            </w:pPr>
            <w:r w:rsidRPr="00BF7956">
              <w:rPr>
                <w:b/>
                <w:bCs/>
                <w:color w:val="000000"/>
                <w:sz w:val="20"/>
                <w:szCs w:val="20"/>
                <w:lang w:val="it-IT"/>
              </w:rPr>
              <w:t>Obiect și domeniu de aplicare</w:t>
            </w:r>
          </w:p>
          <w:p w14:paraId="6B057842" w14:textId="77777777" w:rsidR="00785C39" w:rsidRPr="00BF7956" w:rsidRDefault="00785C39" w:rsidP="00785C39">
            <w:pPr>
              <w:jc w:val="both"/>
              <w:rPr>
                <w:b/>
                <w:bCs/>
                <w:color w:val="000000"/>
                <w:sz w:val="20"/>
                <w:szCs w:val="20"/>
                <w:lang w:val="it-IT"/>
              </w:rPr>
            </w:pPr>
          </w:p>
          <w:p w14:paraId="0E69D263" w14:textId="76C481C3" w:rsidR="00785C39" w:rsidRPr="00BF7956" w:rsidRDefault="00785C39" w:rsidP="00785C39">
            <w:pPr>
              <w:jc w:val="both"/>
              <w:rPr>
                <w:rFonts w:eastAsia="Arial Unicode MS"/>
                <w:b/>
                <w:bCs/>
                <w:sz w:val="20"/>
                <w:szCs w:val="20"/>
                <w:lang w:val="it-IT"/>
              </w:rPr>
            </w:pPr>
            <w:r w:rsidRPr="00BF7956">
              <w:rPr>
                <w:color w:val="000000"/>
                <w:sz w:val="20"/>
                <w:szCs w:val="20"/>
                <w:lang w:val="it-IT"/>
              </w:rPr>
              <w:t>Prezentul regulament stabilește formate și formulare de raportare uniforme, instrucţiuni privind modul de utilizare a acestor formulare și metodologia aferentă, frecvenţa și datele de raportare, definiţii și soluţii informatice pentru transmiterea de către instituţii a rapoartelor către autorităţile lor competente, în conformitate cu articolul 415 alineatele (3) și (3a) din Regulamentul (UE) nr. 575/2013 și cu articolul 430 alineatele (1)-(4) și alineatele (7) și (9) din regulamentul menţionat.</w:t>
            </w:r>
          </w:p>
        </w:tc>
        <w:tc>
          <w:tcPr>
            <w:tcW w:w="4536" w:type="dxa"/>
            <w:shd w:val="clear" w:color="auto" w:fill="auto"/>
          </w:tcPr>
          <w:p w14:paraId="11743491" w14:textId="77777777" w:rsidR="00785C39" w:rsidRPr="00BF7956" w:rsidRDefault="00785C39" w:rsidP="00785C39">
            <w:pPr>
              <w:autoSpaceDE w:val="0"/>
              <w:autoSpaceDN w:val="0"/>
              <w:adjustRightInd w:val="0"/>
              <w:spacing w:before="60" w:after="60"/>
              <w:jc w:val="center"/>
              <w:rPr>
                <w:b/>
                <w:bCs/>
                <w:i/>
                <w:iCs/>
                <w:color w:val="000000"/>
                <w:sz w:val="20"/>
                <w:szCs w:val="20"/>
                <w:lang w:val="ro-MD"/>
              </w:rPr>
            </w:pPr>
          </w:p>
          <w:p w14:paraId="5FC57A1A" w14:textId="77777777" w:rsidR="00785C39" w:rsidRPr="00BF7956" w:rsidRDefault="00785C39" w:rsidP="00785C39">
            <w:pPr>
              <w:autoSpaceDE w:val="0"/>
              <w:autoSpaceDN w:val="0"/>
              <w:adjustRightInd w:val="0"/>
              <w:spacing w:before="60" w:after="60"/>
              <w:jc w:val="center"/>
              <w:rPr>
                <w:b/>
                <w:bCs/>
                <w:i/>
                <w:iCs/>
                <w:color w:val="000000"/>
                <w:sz w:val="20"/>
                <w:szCs w:val="20"/>
                <w:lang w:val="ro-MD"/>
              </w:rPr>
            </w:pPr>
          </w:p>
          <w:p w14:paraId="296389EC" w14:textId="180C945A" w:rsidR="00785C39" w:rsidRPr="00BF7956" w:rsidRDefault="00785C39" w:rsidP="00785C39">
            <w:pPr>
              <w:autoSpaceDE w:val="0"/>
              <w:autoSpaceDN w:val="0"/>
              <w:adjustRightInd w:val="0"/>
              <w:spacing w:before="60" w:after="60"/>
              <w:jc w:val="center"/>
              <w:rPr>
                <w:color w:val="000000"/>
                <w:sz w:val="20"/>
                <w:szCs w:val="20"/>
                <w:lang w:val="ro-MD"/>
              </w:rPr>
            </w:pPr>
          </w:p>
        </w:tc>
        <w:tc>
          <w:tcPr>
            <w:tcW w:w="1418" w:type="dxa"/>
          </w:tcPr>
          <w:p w14:paraId="6AAEF574" w14:textId="421EAB8E" w:rsidR="00BA735E" w:rsidRPr="00BF7956" w:rsidRDefault="00BA735E" w:rsidP="00BA735E">
            <w:pPr>
              <w:rPr>
                <w:b/>
                <w:strike/>
                <w:sz w:val="20"/>
                <w:szCs w:val="20"/>
                <w:lang w:val="ro-RO"/>
              </w:rPr>
            </w:pPr>
            <w:r w:rsidRPr="00BF7956">
              <w:rPr>
                <w:sz w:val="20"/>
                <w:szCs w:val="20"/>
                <w:lang w:val="ro-RO"/>
              </w:rPr>
              <w:t>Nu se transpune în prezentul proiect</w:t>
            </w:r>
          </w:p>
        </w:tc>
        <w:tc>
          <w:tcPr>
            <w:tcW w:w="2223" w:type="dxa"/>
          </w:tcPr>
          <w:p w14:paraId="550B515C" w14:textId="44519928" w:rsidR="00BA735E" w:rsidRPr="00BF7956" w:rsidRDefault="00BA735E" w:rsidP="00BA735E">
            <w:pPr>
              <w:rPr>
                <w:sz w:val="20"/>
                <w:szCs w:val="20"/>
                <w:lang w:val="ro-RO"/>
              </w:rPr>
            </w:pPr>
          </w:p>
        </w:tc>
        <w:tc>
          <w:tcPr>
            <w:tcW w:w="1134" w:type="dxa"/>
            <w:tcBorders>
              <w:top w:val="single" w:sz="4" w:space="0" w:color="auto"/>
              <w:bottom w:val="single" w:sz="4" w:space="0" w:color="auto"/>
            </w:tcBorders>
          </w:tcPr>
          <w:p w14:paraId="2E3D17AE" w14:textId="77777777" w:rsidR="00BA735E" w:rsidRPr="00BF7956" w:rsidRDefault="00BA735E" w:rsidP="00BA735E">
            <w:pPr>
              <w:jc w:val="both"/>
              <w:rPr>
                <w:sz w:val="20"/>
                <w:szCs w:val="20"/>
                <w:lang w:val="ro-RO"/>
              </w:rPr>
            </w:pPr>
          </w:p>
        </w:tc>
        <w:tc>
          <w:tcPr>
            <w:tcW w:w="992" w:type="dxa"/>
          </w:tcPr>
          <w:p w14:paraId="78C23F35" w14:textId="77777777" w:rsidR="00BA735E" w:rsidRPr="00BF7956" w:rsidRDefault="00BA735E" w:rsidP="00BA735E">
            <w:pPr>
              <w:jc w:val="both"/>
              <w:rPr>
                <w:sz w:val="20"/>
                <w:szCs w:val="20"/>
                <w:lang w:val="ro-RO"/>
              </w:rPr>
            </w:pPr>
          </w:p>
        </w:tc>
      </w:tr>
      <w:tr w:rsidR="00BA735E" w:rsidRPr="002C43F1" w14:paraId="350470A9" w14:textId="77777777" w:rsidTr="00C25F84">
        <w:tc>
          <w:tcPr>
            <w:tcW w:w="4576" w:type="dxa"/>
          </w:tcPr>
          <w:p w14:paraId="52E9DA39" w14:textId="77777777" w:rsidR="00BA735E" w:rsidRPr="00BF7956" w:rsidRDefault="00BA735E" w:rsidP="00BA735E">
            <w:pPr>
              <w:pStyle w:val="CM4"/>
              <w:spacing w:before="60" w:after="60"/>
              <w:rPr>
                <w:color w:val="000000"/>
                <w:sz w:val="20"/>
                <w:szCs w:val="20"/>
              </w:rPr>
            </w:pPr>
            <w:r w:rsidRPr="00BF7956">
              <w:rPr>
                <w:i/>
                <w:iCs/>
                <w:color w:val="000000"/>
                <w:sz w:val="20"/>
                <w:szCs w:val="20"/>
              </w:rPr>
              <w:t xml:space="preserve">Articolul 2 </w:t>
            </w:r>
          </w:p>
          <w:p w14:paraId="570AEE78" w14:textId="714A6226" w:rsidR="00785C39" w:rsidRPr="00BF7956" w:rsidRDefault="00BA735E" w:rsidP="00785C39">
            <w:pPr>
              <w:jc w:val="both"/>
              <w:rPr>
                <w:b/>
                <w:bCs/>
                <w:color w:val="000000"/>
                <w:sz w:val="20"/>
                <w:szCs w:val="20"/>
                <w:lang w:val="it-IT"/>
              </w:rPr>
            </w:pPr>
            <w:r w:rsidRPr="00BF7956">
              <w:rPr>
                <w:b/>
                <w:bCs/>
                <w:color w:val="000000"/>
                <w:sz w:val="20"/>
                <w:szCs w:val="20"/>
                <w:lang w:val="it-IT"/>
              </w:rPr>
              <w:t>Datele de referinţă ale raportării</w:t>
            </w:r>
          </w:p>
          <w:p w14:paraId="33F06FDF" w14:textId="77777777" w:rsidR="00785C39" w:rsidRPr="00BF7956" w:rsidRDefault="00785C39" w:rsidP="00785C39">
            <w:pPr>
              <w:jc w:val="both"/>
              <w:rPr>
                <w:color w:val="000000"/>
                <w:sz w:val="20"/>
                <w:szCs w:val="20"/>
                <w:lang w:val="it-IT"/>
              </w:rPr>
            </w:pPr>
          </w:p>
          <w:p w14:paraId="596B48F5" w14:textId="77777777" w:rsidR="00785C39" w:rsidRPr="00BF7956" w:rsidRDefault="00785C39" w:rsidP="00785C39">
            <w:pPr>
              <w:pStyle w:val="CM4"/>
              <w:spacing w:before="60" w:after="60"/>
              <w:rPr>
                <w:color w:val="000000"/>
                <w:sz w:val="20"/>
                <w:szCs w:val="20"/>
              </w:rPr>
            </w:pPr>
            <w:r w:rsidRPr="00BF7956">
              <w:rPr>
                <w:color w:val="000000"/>
                <w:sz w:val="20"/>
                <w:szCs w:val="20"/>
              </w:rPr>
              <w:t xml:space="preserve">(1) Instituţiile transmit autorităţilor competente informaţii, astfel cum se prezintă aceste informaţii la următoarele date de referinţă ale raportării: </w:t>
            </w:r>
          </w:p>
          <w:p w14:paraId="03DAD745" w14:textId="77777777" w:rsidR="00785C39" w:rsidRPr="00BF7956" w:rsidRDefault="00785C39" w:rsidP="00785C39">
            <w:pPr>
              <w:pStyle w:val="CM4"/>
              <w:spacing w:before="60" w:after="60"/>
              <w:rPr>
                <w:color w:val="000000"/>
                <w:sz w:val="20"/>
                <w:szCs w:val="20"/>
              </w:rPr>
            </w:pPr>
            <w:r w:rsidRPr="00BF7956">
              <w:rPr>
                <w:color w:val="000000"/>
                <w:sz w:val="20"/>
                <w:szCs w:val="20"/>
              </w:rPr>
              <w:t xml:space="preserve">(a) raportare lunară: în ultima zi a fiecărei luni; </w:t>
            </w:r>
          </w:p>
          <w:p w14:paraId="7D8113A1" w14:textId="77777777" w:rsidR="00785C39" w:rsidRPr="00BF7956" w:rsidRDefault="00785C39" w:rsidP="00785C39">
            <w:pPr>
              <w:pStyle w:val="CM4"/>
              <w:spacing w:before="60" w:after="60"/>
              <w:rPr>
                <w:color w:val="000000"/>
                <w:sz w:val="20"/>
                <w:szCs w:val="20"/>
              </w:rPr>
            </w:pPr>
            <w:r w:rsidRPr="00BF7956">
              <w:rPr>
                <w:color w:val="000000"/>
                <w:sz w:val="20"/>
                <w:szCs w:val="20"/>
              </w:rPr>
              <w:t xml:space="preserve">(b) raportare trimestrială: 31 martie, 30 iunie, 30 septembrie și 31 decembrie; </w:t>
            </w:r>
          </w:p>
          <w:p w14:paraId="5BDB1613" w14:textId="77777777" w:rsidR="00785C39" w:rsidRPr="00BF7956" w:rsidRDefault="00785C39" w:rsidP="00785C39">
            <w:pPr>
              <w:pStyle w:val="CM4"/>
              <w:spacing w:before="60" w:after="60"/>
              <w:rPr>
                <w:color w:val="000000"/>
                <w:sz w:val="20"/>
                <w:szCs w:val="20"/>
              </w:rPr>
            </w:pPr>
            <w:r w:rsidRPr="00BF7956">
              <w:rPr>
                <w:color w:val="000000"/>
                <w:sz w:val="20"/>
                <w:szCs w:val="20"/>
              </w:rPr>
              <w:t xml:space="preserve">(c) raportare bianuală: 30 iunie și 31 decembrie; </w:t>
            </w:r>
          </w:p>
          <w:p w14:paraId="7EEACA37" w14:textId="77777777" w:rsidR="00785C39" w:rsidRPr="00BF7956" w:rsidRDefault="00785C39" w:rsidP="00785C39">
            <w:pPr>
              <w:pStyle w:val="CM4"/>
              <w:spacing w:before="60" w:after="60"/>
              <w:rPr>
                <w:color w:val="000000"/>
                <w:sz w:val="20"/>
                <w:szCs w:val="20"/>
              </w:rPr>
            </w:pPr>
            <w:r w:rsidRPr="00BF7956">
              <w:rPr>
                <w:color w:val="000000"/>
                <w:sz w:val="20"/>
                <w:szCs w:val="20"/>
              </w:rPr>
              <w:t xml:space="preserve">(d) raportare anuală: 31 decembrie. </w:t>
            </w:r>
          </w:p>
          <w:p w14:paraId="105C8EBA" w14:textId="77777777" w:rsidR="00785C39" w:rsidRPr="00BF7956" w:rsidRDefault="00785C39" w:rsidP="00785C39">
            <w:pPr>
              <w:pStyle w:val="CM4"/>
              <w:spacing w:before="60" w:after="60"/>
              <w:rPr>
                <w:color w:val="000000"/>
                <w:sz w:val="20"/>
                <w:szCs w:val="20"/>
              </w:rPr>
            </w:pPr>
            <w:r w:rsidRPr="00BF7956">
              <w:rPr>
                <w:color w:val="000000"/>
                <w:sz w:val="20"/>
                <w:szCs w:val="20"/>
              </w:rPr>
              <w:t xml:space="preserve">(2) Informaţiile transmise în temeiul formularelor prevăzute în anexele III și IV, în conformitate cu instrucţiunile prevăzute în anexa V, care fac referire la o anumită perioadă sunt raportate cumulat din prima zi a exerciţiului financiar până la data de referinţă. </w:t>
            </w:r>
          </w:p>
          <w:p w14:paraId="43CEE8FC" w14:textId="49DC3B07" w:rsidR="00785C39" w:rsidRPr="00BF7956" w:rsidRDefault="00785C39" w:rsidP="00785C39">
            <w:pPr>
              <w:jc w:val="both"/>
              <w:rPr>
                <w:rFonts w:eastAsia="Arial Unicode MS"/>
                <w:bCs/>
                <w:sz w:val="20"/>
                <w:szCs w:val="20"/>
                <w:lang w:val="it-IT"/>
              </w:rPr>
            </w:pPr>
            <w:r w:rsidRPr="00BF7956">
              <w:rPr>
                <w:color w:val="000000"/>
                <w:sz w:val="20"/>
                <w:szCs w:val="20"/>
                <w:lang w:val="it-IT"/>
              </w:rPr>
              <w:t xml:space="preserve">(3) În cazul în care legislaţia naţională permite instituţiilor să raporteze informaţiile financiare pe baza datelor disponibile la încheierea exerciţiului lor financiar, care este diferit de anul calendaristic, datele de referinţă ale raportării pot fi adaptate în consecinţă, astfel încât raportarea informaţiilor financiare și a informaţiilor necesare pentru a identifica instituţiile de </w:t>
            </w:r>
            <w:r w:rsidRPr="00BF7956">
              <w:rPr>
                <w:color w:val="000000"/>
                <w:sz w:val="20"/>
                <w:szCs w:val="20"/>
                <w:lang w:val="it-IT"/>
              </w:rPr>
              <w:lastRenderedPageBreak/>
              <w:t>importanţă sistemică globală (G-SII) și a le atribui acestora rate ale amortizorului să aibă loc o dată la trei, șase sau, respectiv, douăsprezece luni de la încheierea exerciţiului lor financiar.</w:t>
            </w:r>
          </w:p>
        </w:tc>
        <w:tc>
          <w:tcPr>
            <w:tcW w:w="4536" w:type="dxa"/>
            <w:shd w:val="clear" w:color="auto" w:fill="auto"/>
          </w:tcPr>
          <w:p w14:paraId="73CCD3ED" w14:textId="77777777" w:rsidR="00BA735E" w:rsidRPr="00BF7956" w:rsidRDefault="00BA735E" w:rsidP="00BA735E">
            <w:pPr>
              <w:autoSpaceDE w:val="0"/>
              <w:autoSpaceDN w:val="0"/>
              <w:adjustRightInd w:val="0"/>
              <w:spacing w:before="60" w:after="60"/>
              <w:jc w:val="center"/>
              <w:rPr>
                <w:color w:val="000000"/>
                <w:sz w:val="20"/>
                <w:szCs w:val="20"/>
                <w:lang w:val="ro-RO"/>
              </w:rPr>
            </w:pPr>
          </w:p>
        </w:tc>
        <w:tc>
          <w:tcPr>
            <w:tcW w:w="1418" w:type="dxa"/>
          </w:tcPr>
          <w:p w14:paraId="13EB16C6" w14:textId="4F23DE36" w:rsidR="00BA735E" w:rsidRPr="00BF7956" w:rsidRDefault="00BA735E" w:rsidP="00BA735E">
            <w:pPr>
              <w:rPr>
                <w:b/>
                <w:strike/>
                <w:sz w:val="20"/>
                <w:szCs w:val="20"/>
                <w:lang w:val="ro-RO"/>
              </w:rPr>
            </w:pPr>
            <w:r w:rsidRPr="00BF7956">
              <w:rPr>
                <w:sz w:val="20"/>
                <w:szCs w:val="20"/>
                <w:lang w:val="ro-RO"/>
              </w:rPr>
              <w:t>Nu se transpune în prezentul proiect</w:t>
            </w:r>
          </w:p>
        </w:tc>
        <w:tc>
          <w:tcPr>
            <w:tcW w:w="2223" w:type="dxa"/>
          </w:tcPr>
          <w:p w14:paraId="4D63C035" w14:textId="77777777" w:rsidR="00BA735E" w:rsidRPr="00BF7956" w:rsidRDefault="00BA735E" w:rsidP="00BA735E">
            <w:pPr>
              <w:rPr>
                <w:sz w:val="20"/>
                <w:szCs w:val="20"/>
                <w:lang w:val="ro-RO"/>
              </w:rPr>
            </w:pPr>
          </w:p>
          <w:p w14:paraId="31C05326" w14:textId="77777777" w:rsidR="00C25F84" w:rsidRPr="00BF7956" w:rsidRDefault="00C25F84" w:rsidP="00C25F84">
            <w:pPr>
              <w:rPr>
                <w:sz w:val="20"/>
                <w:szCs w:val="20"/>
                <w:lang w:val="ro-RO"/>
              </w:rPr>
            </w:pPr>
          </w:p>
          <w:p w14:paraId="28FD95F2" w14:textId="77777777" w:rsidR="00C25F84" w:rsidRPr="00BF7956" w:rsidRDefault="00C25F84" w:rsidP="00C25F84">
            <w:pPr>
              <w:rPr>
                <w:sz w:val="20"/>
                <w:szCs w:val="20"/>
                <w:lang w:val="ro-RO"/>
              </w:rPr>
            </w:pPr>
          </w:p>
          <w:p w14:paraId="56844E21" w14:textId="77777777" w:rsidR="00C25F84" w:rsidRPr="00BF7956" w:rsidRDefault="00C25F84" w:rsidP="00C25F84">
            <w:pPr>
              <w:rPr>
                <w:sz w:val="20"/>
                <w:szCs w:val="20"/>
                <w:lang w:val="ro-RO"/>
              </w:rPr>
            </w:pPr>
          </w:p>
          <w:p w14:paraId="65952D25" w14:textId="77777777" w:rsidR="00C25F84" w:rsidRPr="00BF7956" w:rsidRDefault="00C25F84" w:rsidP="00C25F84">
            <w:pPr>
              <w:rPr>
                <w:sz w:val="20"/>
                <w:szCs w:val="20"/>
                <w:lang w:val="ro-RO"/>
              </w:rPr>
            </w:pPr>
          </w:p>
          <w:p w14:paraId="28BAE12B" w14:textId="77777777" w:rsidR="00C25F84" w:rsidRPr="00BF7956" w:rsidRDefault="00C25F84" w:rsidP="00C25F84">
            <w:pPr>
              <w:rPr>
                <w:sz w:val="20"/>
                <w:szCs w:val="20"/>
                <w:lang w:val="ro-RO"/>
              </w:rPr>
            </w:pPr>
          </w:p>
          <w:p w14:paraId="1BF2D864" w14:textId="77777777" w:rsidR="00C25F84" w:rsidRPr="00BF7956" w:rsidRDefault="00C25F84" w:rsidP="00C25F84">
            <w:pPr>
              <w:rPr>
                <w:sz w:val="20"/>
                <w:szCs w:val="20"/>
                <w:lang w:val="ro-RO"/>
              </w:rPr>
            </w:pPr>
          </w:p>
          <w:p w14:paraId="7790AAE1" w14:textId="77777777" w:rsidR="00C25F84" w:rsidRPr="00BF7956" w:rsidRDefault="00C25F84" w:rsidP="00C25F84">
            <w:pPr>
              <w:rPr>
                <w:sz w:val="20"/>
                <w:szCs w:val="20"/>
                <w:lang w:val="ro-RO"/>
              </w:rPr>
            </w:pPr>
          </w:p>
          <w:p w14:paraId="6C1ABEF0" w14:textId="77777777" w:rsidR="00C25F84" w:rsidRPr="00BF7956" w:rsidRDefault="00C25F84" w:rsidP="00C25F84">
            <w:pPr>
              <w:rPr>
                <w:sz w:val="20"/>
                <w:szCs w:val="20"/>
                <w:lang w:val="ro-RO"/>
              </w:rPr>
            </w:pPr>
          </w:p>
          <w:p w14:paraId="1DCCC56E" w14:textId="77777777" w:rsidR="00C25F84" w:rsidRPr="00BF7956" w:rsidRDefault="00C25F84" w:rsidP="00C25F84">
            <w:pPr>
              <w:rPr>
                <w:sz w:val="20"/>
                <w:szCs w:val="20"/>
                <w:lang w:val="ro-RO"/>
              </w:rPr>
            </w:pPr>
          </w:p>
          <w:p w14:paraId="5B16D5C2" w14:textId="77777777" w:rsidR="00C25F84" w:rsidRPr="00BF7956" w:rsidRDefault="00C25F84" w:rsidP="00C25F84">
            <w:pPr>
              <w:rPr>
                <w:sz w:val="20"/>
                <w:szCs w:val="20"/>
                <w:lang w:val="ro-RO"/>
              </w:rPr>
            </w:pPr>
          </w:p>
          <w:p w14:paraId="00EB272D" w14:textId="77777777" w:rsidR="00C25F84" w:rsidRPr="00BF7956" w:rsidRDefault="00C25F84" w:rsidP="00C25F84">
            <w:pPr>
              <w:rPr>
                <w:sz w:val="20"/>
                <w:szCs w:val="20"/>
                <w:lang w:val="ro-RO"/>
              </w:rPr>
            </w:pPr>
          </w:p>
          <w:p w14:paraId="3F725337" w14:textId="77777777" w:rsidR="00C25F84" w:rsidRPr="00BF7956" w:rsidRDefault="00C25F84" w:rsidP="00C25F84">
            <w:pPr>
              <w:rPr>
                <w:sz w:val="20"/>
                <w:szCs w:val="20"/>
                <w:lang w:val="ro-RO"/>
              </w:rPr>
            </w:pPr>
          </w:p>
          <w:p w14:paraId="3A047C0C" w14:textId="77777777" w:rsidR="00C25F84" w:rsidRPr="00BF7956" w:rsidRDefault="00C25F84" w:rsidP="00C25F84">
            <w:pPr>
              <w:rPr>
                <w:sz w:val="20"/>
                <w:szCs w:val="20"/>
                <w:lang w:val="ro-RO"/>
              </w:rPr>
            </w:pPr>
          </w:p>
          <w:p w14:paraId="79EBC4ED" w14:textId="77777777" w:rsidR="00C25F84" w:rsidRPr="00BF7956" w:rsidRDefault="00C25F84" w:rsidP="00C25F84">
            <w:pPr>
              <w:rPr>
                <w:sz w:val="20"/>
                <w:szCs w:val="20"/>
                <w:lang w:val="ro-RO"/>
              </w:rPr>
            </w:pPr>
          </w:p>
          <w:p w14:paraId="323B9516" w14:textId="77777777" w:rsidR="00C25F84" w:rsidRPr="00BF7956" w:rsidRDefault="00C25F84" w:rsidP="00C25F84">
            <w:pPr>
              <w:rPr>
                <w:sz w:val="20"/>
                <w:szCs w:val="20"/>
                <w:lang w:val="ro-RO"/>
              </w:rPr>
            </w:pPr>
          </w:p>
          <w:p w14:paraId="6DA792AE" w14:textId="77777777" w:rsidR="00C25F84" w:rsidRPr="00BF7956" w:rsidRDefault="00C25F84" w:rsidP="00C25F84">
            <w:pPr>
              <w:rPr>
                <w:sz w:val="20"/>
                <w:szCs w:val="20"/>
                <w:lang w:val="ro-RO"/>
              </w:rPr>
            </w:pPr>
          </w:p>
          <w:p w14:paraId="7E9C89F2" w14:textId="77777777" w:rsidR="00C25F84" w:rsidRPr="00BF7956" w:rsidRDefault="00C25F84" w:rsidP="00C25F84">
            <w:pPr>
              <w:rPr>
                <w:sz w:val="20"/>
                <w:szCs w:val="20"/>
                <w:lang w:val="ro-RO"/>
              </w:rPr>
            </w:pPr>
          </w:p>
          <w:p w14:paraId="79BA5CA5" w14:textId="77777777" w:rsidR="00C25F84" w:rsidRPr="00BF7956" w:rsidRDefault="00C25F84" w:rsidP="00C25F84">
            <w:pPr>
              <w:rPr>
                <w:sz w:val="20"/>
                <w:szCs w:val="20"/>
                <w:lang w:val="ro-RO"/>
              </w:rPr>
            </w:pPr>
          </w:p>
          <w:p w14:paraId="5CD26015" w14:textId="77777777" w:rsidR="00C25F84" w:rsidRPr="00BF7956" w:rsidRDefault="00C25F84" w:rsidP="00C25F84">
            <w:pPr>
              <w:rPr>
                <w:sz w:val="20"/>
                <w:szCs w:val="20"/>
                <w:lang w:val="ro-RO"/>
              </w:rPr>
            </w:pPr>
          </w:p>
          <w:p w14:paraId="25902555" w14:textId="77777777" w:rsidR="00C25F84" w:rsidRPr="00BF7956" w:rsidRDefault="00C25F84" w:rsidP="00C25F84">
            <w:pPr>
              <w:rPr>
                <w:sz w:val="20"/>
                <w:szCs w:val="20"/>
                <w:lang w:val="ro-RO"/>
              </w:rPr>
            </w:pPr>
          </w:p>
          <w:p w14:paraId="3CD55E28" w14:textId="096D717F" w:rsidR="00C25F84" w:rsidRPr="00BF7956" w:rsidRDefault="00C25F84" w:rsidP="00C25F84">
            <w:pPr>
              <w:rPr>
                <w:sz w:val="20"/>
                <w:szCs w:val="20"/>
                <w:lang w:val="ro-RO"/>
              </w:rPr>
            </w:pPr>
          </w:p>
        </w:tc>
        <w:tc>
          <w:tcPr>
            <w:tcW w:w="1134" w:type="dxa"/>
            <w:tcBorders>
              <w:top w:val="single" w:sz="4" w:space="0" w:color="auto"/>
              <w:bottom w:val="single" w:sz="4" w:space="0" w:color="auto"/>
            </w:tcBorders>
          </w:tcPr>
          <w:p w14:paraId="6089EF28" w14:textId="77777777" w:rsidR="00BA735E" w:rsidRPr="00BF7956" w:rsidRDefault="00BA735E" w:rsidP="00BA735E">
            <w:pPr>
              <w:jc w:val="both"/>
              <w:rPr>
                <w:sz w:val="20"/>
                <w:szCs w:val="20"/>
                <w:lang w:val="ro-RO"/>
              </w:rPr>
            </w:pPr>
          </w:p>
        </w:tc>
        <w:tc>
          <w:tcPr>
            <w:tcW w:w="992" w:type="dxa"/>
          </w:tcPr>
          <w:p w14:paraId="26A8CE70" w14:textId="77777777" w:rsidR="00BA735E" w:rsidRPr="00BF7956" w:rsidRDefault="00BA735E" w:rsidP="00BA735E">
            <w:pPr>
              <w:jc w:val="both"/>
              <w:rPr>
                <w:sz w:val="20"/>
                <w:szCs w:val="20"/>
                <w:lang w:val="ro-RO"/>
              </w:rPr>
            </w:pPr>
          </w:p>
        </w:tc>
      </w:tr>
      <w:tr w:rsidR="00BA735E" w:rsidRPr="002C43F1" w14:paraId="6620C7C9" w14:textId="77777777" w:rsidTr="00C25F84">
        <w:tc>
          <w:tcPr>
            <w:tcW w:w="4576" w:type="dxa"/>
          </w:tcPr>
          <w:p w14:paraId="1323E48B" w14:textId="77777777" w:rsidR="00BA735E" w:rsidRPr="00BF7956" w:rsidRDefault="00BA735E" w:rsidP="00BA735E">
            <w:pPr>
              <w:pStyle w:val="CM4"/>
              <w:spacing w:before="60" w:after="60"/>
              <w:rPr>
                <w:color w:val="000000"/>
                <w:sz w:val="20"/>
                <w:szCs w:val="20"/>
              </w:rPr>
            </w:pPr>
            <w:r w:rsidRPr="00BF7956">
              <w:rPr>
                <w:i/>
                <w:iCs/>
                <w:color w:val="000000"/>
                <w:sz w:val="20"/>
                <w:szCs w:val="20"/>
              </w:rPr>
              <w:t xml:space="preserve">Articolul 3 </w:t>
            </w:r>
          </w:p>
          <w:p w14:paraId="5522A568" w14:textId="44764E06" w:rsidR="001C02CA" w:rsidRPr="00BF7956" w:rsidRDefault="00BA735E" w:rsidP="001C02CA">
            <w:pPr>
              <w:jc w:val="both"/>
              <w:rPr>
                <w:color w:val="000000"/>
                <w:sz w:val="20"/>
                <w:szCs w:val="20"/>
                <w:lang w:val="it-IT"/>
              </w:rPr>
            </w:pPr>
            <w:r w:rsidRPr="00BF7956">
              <w:rPr>
                <w:b/>
                <w:bCs/>
                <w:color w:val="000000"/>
                <w:sz w:val="20"/>
                <w:szCs w:val="20"/>
                <w:lang w:val="it-IT"/>
              </w:rPr>
              <w:t>Datele de transmitere a raportării</w:t>
            </w:r>
          </w:p>
          <w:p w14:paraId="2D305814" w14:textId="77777777" w:rsidR="001C02CA" w:rsidRPr="00BF7956" w:rsidRDefault="001C02CA" w:rsidP="001C02CA">
            <w:pPr>
              <w:pStyle w:val="CM3"/>
              <w:spacing w:before="60" w:after="60"/>
              <w:rPr>
                <w:color w:val="000000"/>
                <w:sz w:val="20"/>
                <w:szCs w:val="20"/>
              </w:rPr>
            </w:pPr>
          </w:p>
          <w:p w14:paraId="07A260E0" w14:textId="099C26E2" w:rsidR="001C02CA" w:rsidRPr="00BF7956" w:rsidRDefault="001C02CA" w:rsidP="001C02CA">
            <w:pPr>
              <w:pStyle w:val="CM4"/>
              <w:spacing w:before="60" w:after="60"/>
              <w:rPr>
                <w:color w:val="000000"/>
                <w:sz w:val="20"/>
                <w:szCs w:val="20"/>
              </w:rPr>
            </w:pPr>
            <w:r w:rsidRPr="00BF7956">
              <w:rPr>
                <w:color w:val="000000"/>
                <w:sz w:val="20"/>
                <w:szCs w:val="20"/>
              </w:rPr>
              <w:t xml:space="preserve">(1) Instituţiile transmit informaţii autorităţilor competente, până la sfârșitul programului de lucru, la următoarele date de transmitere: </w:t>
            </w:r>
          </w:p>
          <w:p w14:paraId="7B6B1629"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(a) raportare lunară: a 15-a zi calendaristică de la data de referinţă a raportării; </w:t>
            </w:r>
          </w:p>
          <w:p w14:paraId="563E2A37"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(b) raportare trimestrială: 12 mai, 11 august, 11 noiembrie și 11 februarie; </w:t>
            </w:r>
          </w:p>
          <w:p w14:paraId="29E65B9F"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(c) raportare bianuală: 11 august și 11 februarie; </w:t>
            </w:r>
          </w:p>
          <w:p w14:paraId="05559BDC"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(d) raportare anuală: 11 februarie. </w:t>
            </w:r>
          </w:p>
          <w:p w14:paraId="40490A22"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(2) În cazul în care data de transmitere este o sărbătoare legală în statul membru al autorităţii competente căreia trebuie să i se prezinte raportul sau o zi de sâmbătă ori de duminică, informaţiile sunt transmise în ziua lucrătoare următoare. </w:t>
            </w:r>
          </w:p>
          <w:p w14:paraId="4D169191"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(3) În cazul în care instituţiile utilizează datele de referinţă ale raportării ajustate pe baza datelor disponibile la încheierea exerciţiului lor financiar, astfel cum se prevede la articolul 2 alineatul (3), cu scopul de a raporta informaţii financiare sau informaţiile necesare pentru a identifica instituţiile de importanţă sistemică globală (G-SII) și a le atribui acestora rate ale amortizorului, datele de transmitere pot, de asemenea, să fie ajustate în consecinţă, astfel încât să se menţină aceeași perioadă de transmitere faţă de data de referinţă a raportării ajustată. </w:t>
            </w:r>
          </w:p>
          <w:p w14:paraId="75DB51FF" w14:textId="77777777" w:rsidR="001C02CA" w:rsidRPr="00BF7956" w:rsidRDefault="001C02CA" w:rsidP="001C02CA">
            <w:pPr>
              <w:pStyle w:val="CM4"/>
              <w:spacing w:before="60" w:after="60"/>
              <w:rPr>
                <w:color w:val="000000"/>
                <w:sz w:val="20"/>
                <w:szCs w:val="20"/>
              </w:rPr>
            </w:pPr>
            <w:r w:rsidRPr="00BF7956">
              <w:rPr>
                <w:color w:val="000000"/>
                <w:sz w:val="20"/>
                <w:szCs w:val="20"/>
              </w:rPr>
              <w:t xml:space="preserve">(4) Instituţiile pot prezenta cifre neauditate. În cazul în care cifrele auditate sunt diferite faţă de cifrele neauditate transmise, se prezintă fără întârziere cifrele revizuite în urma auditării. Cifrele neauditate sunt cifre care nu au făcut obiectul unei opinii a unui </w:t>
            </w:r>
            <w:r w:rsidRPr="00BF7956">
              <w:rPr>
                <w:color w:val="000000"/>
                <w:sz w:val="20"/>
                <w:szCs w:val="20"/>
              </w:rPr>
              <w:lastRenderedPageBreak/>
              <w:t xml:space="preserve">auditor extern, în timp ce cifrele auditate sunt cifrele care au făcut obiectul unui audit efectuat de un auditor extern care și-a exprimat o opinie de audit. </w:t>
            </w:r>
          </w:p>
          <w:p w14:paraId="08E3E95B" w14:textId="79E59A2C" w:rsidR="00785C39" w:rsidRPr="00BF7956" w:rsidRDefault="001C02CA" w:rsidP="001C02CA">
            <w:pPr>
              <w:jc w:val="both"/>
              <w:rPr>
                <w:rFonts w:eastAsia="Arial Unicode MS"/>
                <w:bCs/>
                <w:sz w:val="20"/>
                <w:szCs w:val="20"/>
                <w:lang w:val="it-IT"/>
              </w:rPr>
            </w:pPr>
            <w:r w:rsidRPr="00BF7956">
              <w:rPr>
                <w:color w:val="000000"/>
                <w:sz w:val="20"/>
                <w:szCs w:val="20"/>
                <w:lang w:val="it-IT"/>
              </w:rPr>
              <w:t>(5) Se transmit, de asemenea, fără întârziere, autorităţilor competente orice alte corecţii ale rapoartelor prezentate.</w:t>
            </w:r>
          </w:p>
        </w:tc>
        <w:tc>
          <w:tcPr>
            <w:tcW w:w="4536" w:type="dxa"/>
            <w:shd w:val="clear" w:color="auto" w:fill="auto"/>
          </w:tcPr>
          <w:p w14:paraId="2A7BF132" w14:textId="77777777" w:rsidR="00BA735E" w:rsidRPr="00BF7956" w:rsidRDefault="00BA735E" w:rsidP="00BA735E">
            <w:pPr>
              <w:autoSpaceDE w:val="0"/>
              <w:autoSpaceDN w:val="0"/>
              <w:adjustRightInd w:val="0"/>
              <w:spacing w:before="60" w:after="60"/>
              <w:jc w:val="center"/>
              <w:rPr>
                <w:color w:val="000000"/>
                <w:sz w:val="20"/>
                <w:szCs w:val="20"/>
                <w:lang w:val="ro-RO"/>
              </w:rPr>
            </w:pPr>
          </w:p>
        </w:tc>
        <w:tc>
          <w:tcPr>
            <w:tcW w:w="1418" w:type="dxa"/>
          </w:tcPr>
          <w:p w14:paraId="6FE0DA49" w14:textId="5A31259C" w:rsidR="00BA735E" w:rsidRPr="00BF7956" w:rsidRDefault="00BA735E" w:rsidP="00BA735E">
            <w:pPr>
              <w:rPr>
                <w:b/>
                <w:strike/>
                <w:sz w:val="20"/>
                <w:szCs w:val="20"/>
                <w:lang w:val="ro-RO"/>
              </w:rPr>
            </w:pPr>
            <w:r w:rsidRPr="00BF7956">
              <w:rPr>
                <w:sz w:val="20"/>
                <w:szCs w:val="20"/>
                <w:lang w:val="ro-RO"/>
              </w:rPr>
              <w:t>Nu se transpune în prezentul proiect</w:t>
            </w:r>
          </w:p>
        </w:tc>
        <w:tc>
          <w:tcPr>
            <w:tcW w:w="2223" w:type="dxa"/>
          </w:tcPr>
          <w:p w14:paraId="20231B88" w14:textId="622CB0EE" w:rsidR="00BA735E" w:rsidRPr="00BF7956" w:rsidRDefault="00BA735E" w:rsidP="00BA735E">
            <w:pPr>
              <w:rPr>
                <w:sz w:val="20"/>
                <w:szCs w:val="20"/>
                <w:lang w:val="ro-RO"/>
              </w:rPr>
            </w:pPr>
          </w:p>
        </w:tc>
        <w:tc>
          <w:tcPr>
            <w:tcW w:w="1134" w:type="dxa"/>
            <w:tcBorders>
              <w:top w:val="single" w:sz="4" w:space="0" w:color="auto"/>
              <w:bottom w:val="single" w:sz="4" w:space="0" w:color="auto"/>
            </w:tcBorders>
          </w:tcPr>
          <w:p w14:paraId="7DE3F15E" w14:textId="77777777" w:rsidR="00BA735E" w:rsidRPr="00BF7956" w:rsidRDefault="00BA735E" w:rsidP="00BA735E">
            <w:pPr>
              <w:jc w:val="both"/>
              <w:rPr>
                <w:sz w:val="20"/>
                <w:szCs w:val="20"/>
                <w:lang w:val="ro-RO"/>
              </w:rPr>
            </w:pPr>
          </w:p>
        </w:tc>
        <w:tc>
          <w:tcPr>
            <w:tcW w:w="992" w:type="dxa"/>
          </w:tcPr>
          <w:p w14:paraId="2CAF8F7F" w14:textId="77777777" w:rsidR="00BA735E" w:rsidRPr="00BF7956" w:rsidRDefault="00BA735E" w:rsidP="00BA735E">
            <w:pPr>
              <w:jc w:val="both"/>
              <w:rPr>
                <w:sz w:val="20"/>
                <w:szCs w:val="20"/>
                <w:lang w:val="ro-RO"/>
              </w:rPr>
            </w:pPr>
          </w:p>
        </w:tc>
      </w:tr>
      <w:tr w:rsidR="00BA735E" w:rsidRPr="002C43F1" w14:paraId="7310BFE8" w14:textId="77777777" w:rsidTr="00C25F84">
        <w:tc>
          <w:tcPr>
            <w:tcW w:w="4576" w:type="dxa"/>
          </w:tcPr>
          <w:p w14:paraId="3385A103" w14:textId="77777777" w:rsidR="00BA735E" w:rsidRPr="00BF7956" w:rsidRDefault="00BA735E" w:rsidP="00BA735E">
            <w:pPr>
              <w:pStyle w:val="CM4"/>
              <w:spacing w:before="60" w:after="60"/>
              <w:rPr>
                <w:color w:val="000000"/>
                <w:sz w:val="20"/>
                <w:szCs w:val="20"/>
              </w:rPr>
            </w:pPr>
            <w:r w:rsidRPr="00BF7956">
              <w:rPr>
                <w:i/>
                <w:iCs/>
                <w:color w:val="000000"/>
                <w:sz w:val="20"/>
                <w:szCs w:val="20"/>
              </w:rPr>
              <w:t xml:space="preserve">Articolul 4 </w:t>
            </w:r>
          </w:p>
          <w:p w14:paraId="64794247" w14:textId="689EBAED" w:rsidR="0083242F" w:rsidRPr="00BF7956" w:rsidRDefault="00BA735E" w:rsidP="0083242F">
            <w:pPr>
              <w:jc w:val="both"/>
              <w:rPr>
                <w:b/>
                <w:bCs/>
                <w:color w:val="000000"/>
                <w:sz w:val="20"/>
                <w:szCs w:val="20"/>
                <w:lang w:val="it-IT"/>
              </w:rPr>
            </w:pPr>
            <w:r w:rsidRPr="00BF7956">
              <w:rPr>
                <w:b/>
                <w:bCs/>
                <w:color w:val="000000"/>
                <w:sz w:val="20"/>
                <w:szCs w:val="20"/>
                <w:lang w:val="it-IT"/>
              </w:rPr>
              <w:t>Praguri de raportare – criterii de intrare și de ieșire</w:t>
            </w:r>
          </w:p>
          <w:p w14:paraId="1AF0832C" w14:textId="77777777" w:rsidR="0083242F" w:rsidRPr="00BF7956" w:rsidRDefault="0083242F" w:rsidP="0083242F">
            <w:pPr>
              <w:pStyle w:val="CM3"/>
              <w:spacing w:before="60" w:after="60"/>
              <w:rPr>
                <w:color w:val="000000"/>
                <w:sz w:val="20"/>
                <w:szCs w:val="20"/>
              </w:rPr>
            </w:pPr>
          </w:p>
          <w:p w14:paraId="17E4FF9C" w14:textId="77777777" w:rsidR="0083242F" w:rsidRPr="00BF7956" w:rsidRDefault="0083242F" w:rsidP="0083242F">
            <w:pPr>
              <w:pStyle w:val="CM4"/>
              <w:spacing w:before="60" w:after="60"/>
              <w:rPr>
                <w:color w:val="000000"/>
                <w:sz w:val="20"/>
                <w:szCs w:val="20"/>
              </w:rPr>
            </w:pPr>
            <w:r w:rsidRPr="00BF7956">
              <w:rPr>
                <w:color w:val="000000"/>
                <w:sz w:val="20"/>
                <w:szCs w:val="20"/>
              </w:rPr>
              <w:t xml:space="preserve">(1) Instituţiile care îndeplinesc condiţiile prevăzute la articolul 4 alineatul (1) punctul 145 din Regulamentul (UE) nr. 575/2013 trebuie să înceapă raportarea informaţiilor ca instituţii mici și cu un grad redus de complexitate la prima dată de referinţă a raportării după ce aceste condiţii au fost îndeplinite. În cazul în care nu mai îndeplinesc condiţiile respective, instituţiile încetează să mai raporteze informaţiile la prima dată de referinţă a raportării ulterioară. </w:t>
            </w:r>
          </w:p>
          <w:p w14:paraId="472EC83B" w14:textId="77777777" w:rsidR="0083242F" w:rsidRPr="00BF7956" w:rsidRDefault="0083242F" w:rsidP="0083242F">
            <w:pPr>
              <w:pStyle w:val="CM4"/>
              <w:spacing w:before="60" w:after="60"/>
              <w:rPr>
                <w:color w:val="000000"/>
                <w:sz w:val="20"/>
                <w:szCs w:val="20"/>
              </w:rPr>
            </w:pPr>
            <w:r w:rsidRPr="00BF7956">
              <w:rPr>
                <w:color w:val="000000"/>
                <w:sz w:val="20"/>
                <w:szCs w:val="20"/>
              </w:rPr>
              <w:t xml:space="preserve">(2) Instituţiile care îndeplinesc condiţiile prevăzute la articolul 4 alineatul (1) punctul 146 din Regulamentul (UE) nr. 575/2013 trebuie să înceapă raportarea informaţiilor ca instituţii mari la prima dată de referinţă a raportării după ce aceste condiţii au fost îndeplinite. În cazul în care nu mai îndeplinesc condiţiile respective, instituţiile încetează să mai raporteze informaţiile la prima dată de referinţă a raportării ulterioară. </w:t>
            </w:r>
          </w:p>
          <w:p w14:paraId="5DEFC123" w14:textId="68C460FD" w:rsidR="0083242F" w:rsidRPr="00BF7956" w:rsidRDefault="0083242F" w:rsidP="0083242F">
            <w:pPr>
              <w:jc w:val="both"/>
              <w:rPr>
                <w:rFonts w:eastAsia="Arial Unicode MS"/>
                <w:bCs/>
                <w:sz w:val="20"/>
                <w:szCs w:val="20"/>
                <w:lang w:val="ro-MD"/>
              </w:rPr>
            </w:pPr>
            <w:r w:rsidRPr="00BF7956">
              <w:rPr>
                <w:color w:val="000000"/>
                <w:sz w:val="20"/>
                <w:szCs w:val="20"/>
                <w:lang w:val="ro-MD"/>
              </w:rPr>
              <w:t>(3) Instituţiile încep raportarea informaţiilor care fac obiectul pragurilor stabilite în prezentul regulament la următoarea dată de referinţă a raportării după ce aceste praguri au fost depășite la două date de referinţă consecutive. Instituţiile au dreptul să nu mai raporteze informaţiile care fac obiectul pragurilor stabilite în prezentul regulament la următoarea dată de referinţă a raportării în cazul în care s-au situat sub pragurile relevante la trei date de referinţă consecutive.</w:t>
            </w:r>
          </w:p>
        </w:tc>
        <w:tc>
          <w:tcPr>
            <w:tcW w:w="4536" w:type="dxa"/>
            <w:shd w:val="clear" w:color="auto" w:fill="auto"/>
          </w:tcPr>
          <w:p w14:paraId="51D13866" w14:textId="77777777" w:rsidR="00BA735E" w:rsidRPr="00BF7956" w:rsidRDefault="00BA735E" w:rsidP="00BA735E">
            <w:pPr>
              <w:autoSpaceDE w:val="0"/>
              <w:autoSpaceDN w:val="0"/>
              <w:adjustRightInd w:val="0"/>
              <w:spacing w:before="60" w:after="60"/>
              <w:jc w:val="center"/>
              <w:rPr>
                <w:color w:val="000000"/>
                <w:sz w:val="20"/>
                <w:szCs w:val="20"/>
                <w:lang w:val="ro-RO"/>
              </w:rPr>
            </w:pPr>
          </w:p>
        </w:tc>
        <w:tc>
          <w:tcPr>
            <w:tcW w:w="1418" w:type="dxa"/>
          </w:tcPr>
          <w:p w14:paraId="626D9557" w14:textId="05509837" w:rsidR="00BA735E" w:rsidRPr="00BF7956" w:rsidRDefault="00BA735E" w:rsidP="00BA735E">
            <w:pPr>
              <w:rPr>
                <w:b/>
                <w:strike/>
                <w:sz w:val="20"/>
                <w:szCs w:val="20"/>
                <w:lang w:val="ro-RO"/>
              </w:rPr>
            </w:pPr>
            <w:r w:rsidRPr="00BF7956">
              <w:rPr>
                <w:sz w:val="20"/>
                <w:szCs w:val="20"/>
                <w:lang w:val="ro-RO"/>
              </w:rPr>
              <w:t>Nu se transpune în prezentul proiect</w:t>
            </w:r>
          </w:p>
        </w:tc>
        <w:tc>
          <w:tcPr>
            <w:tcW w:w="2223" w:type="dxa"/>
          </w:tcPr>
          <w:p w14:paraId="21072737" w14:textId="678C848F" w:rsidR="00BA735E" w:rsidRPr="00BF7956" w:rsidRDefault="00BA735E" w:rsidP="00BA735E">
            <w:pPr>
              <w:rPr>
                <w:sz w:val="20"/>
                <w:szCs w:val="20"/>
                <w:lang w:val="ro-RO"/>
              </w:rPr>
            </w:pPr>
          </w:p>
        </w:tc>
        <w:tc>
          <w:tcPr>
            <w:tcW w:w="1134" w:type="dxa"/>
            <w:tcBorders>
              <w:top w:val="single" w:sz="4" w:space="0" w:color="auto"/>
              <w:bottom w:val="single" w:sz="4" w:space="0" w:color="auto"/>
            </w:tcBorders>
          </w:tcPr>
          <w:p w14:paraId="2A781F15" w14:textId="77777777" w:rsidR="00BA735E" w:rsidRPr="00BF7956" w:rsidRDefault="00BA735E" w:rsidP="00BA735E">
            <w:pPr>
              <w:jc w:val="both"/>
              <w:rPr>
                <w:sz w:val="20"/>
                <w:szCs w:val="20"/>
                <w:lang w:val="ro-RO"/>
              </w:rPr>
            </w:pPr>
          </w:p>
        </w:tc>
        <w:tc>
          <w:tcPr>
            <w:tcW w:w="992" w:type="dxa"/>
          </w:tcPr>
          <w:p w14:paraId="5D4D21A6" w14:textId="77777777" w:rsidR="00BA735E" w:rsidRPr="00BF7956" w:rsidRDefault="00BA735E" w:rsidP="00BA735E">
            <w:pPr>
              <w:jc w:val="both"/>
              <w:rPr>
                <w:sz w:val="20"/>
                <w:szCs w:val="20"/>
                <w:lang w:val="ro-RO"/>
              </w:rPr>
            </w:pPr>
          </w:p>
        </w:tc>
      </w:tr>
      <w:tr w:rsidR="0013092B" w:rsidRPr="002C43F1" w14:paraId="7020C291" w14:textId="77777777" w:rsidTr="00C25F84">
        <w:tc>
          <w:tcPr>
            <w:tcW w:w="4576" w:type="dxa"/>
          </w:tcPr>
          <w:p w14:paraId="186E9C99" w14:textId="77777777" w:rsidR="0013092B" w:rsidRPr="00BF7956" w:rsidRDefault="0013092B" w:rsidP="0013092B">
            <w:pPr>
              <w:pStyle w:val="CM4"/>
              <w:spacing w:before="60" w:after="60"/>
              <w:rPr>
                <w:color w:val="000000"/>
                <w:sz w:val="20"/>
                <w:szCs w:val="20"/>
              </w:rPr>
            </w:pPr>
            <w:r w:rsidRPr="00BF7956">
              <w:rPr>
                <w:i/>
                <w:iCs/>
                <w:color w:val="000000"/>
                <w:sz w:val="20"/>
                <w:szCs w:val="20"/>
              </w:rPr>
              <w:t xml:space="preserve">Articolul 5 </w:t>
            </w:r>
          </w:p>
          <w:p w14:paraId="02BAAFA0" w14:textId="77777777" w:rsidR="0013092B" w:rsidRPr="00BF7956" w:rsidRDefault="0013092B" w:rsidP="0013092B">
            <w:pPr>
              <w:jc w:val="both"/>
              <w:rPr>
                <w:b/>
                <w:bCs/>
                <w:color w:val="000000"/>
                <w:sz w:val="20"/>
                <w:szCs w:val="20"/>
                <w:lang w:val="it-IT"/>
              </w:rPr>
            </w:pPr>
            <w:r w:rsidRPr="00BF7956">
              <w:rPr>
                <w:b/>
                <w:bCs/>
                <w:color w:val="000000"/>
                <w:sz w:val="20"/>
                <w:szCs w:val="20"/>
                <w:lang w:val="it-IT"/>
              </w:rPr>
              <w:lastRenderedPageBreak/>
              <w:t>Raportarea pe bază individuală cu privire la fondurile proprii și la cerinţele de fonduri proprii – raportare trimestrială</w:t>
            </w:r>
          </w:p>
          <w:p w14:paraId="1CB919A3"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(1) Pentru a raporta pe bază individuală informaţiile privind fondurile proprii și cerinţele de fonduri proprii în conformitate cu articolul 430 alineatul (1) litera (a) din Regulamentul (UE) nr. 575/2013, instituţiile transmit informaţiile menţionate la prezentul articol cu o frecvenţă trimestrială.</w:t>
            </w:r>
          </w:p>
          <w:p w14:paraId="041945A7"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(2) Instituţiile transmit informaţiile privind fondurile proprii și cerinţele de fonduri proprii specificate în anexa I formularele 1-5 în conformitate cu instrucţiunile din anexa II partea II punctul 1.</w:t>
            </w:r>
          </w:p>
          <w:p w14:paraId="5891DD6D"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(3) Instituţiile transmit informaţiile privind expunerile la riscul de credit și la riscul de credit al contrapărţii tratate conform abordării standardizate, astfel cum sunt specificate în anexa I formularul 7, în conformitate cu instrucţiunile din anexa II partea II punctul 3.2.</w:t>
            </w:r>
          </w:p>
          <w:p w14:paraId="6EE87C8E"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(4) Instituţiile transmit informaţiile privind expunerile la riscul de credit și la riscul de credit al contrapărţii tratate conform abordării bazate pe ratinguri interne, astfel cum sunt specificate în anexa I formularele 8.1 și 8.2, în conformitate cu instrucţiunile din anexa II partea II punctul 3.3.</w:t>
            </w:r>
          </w:p>
          <w:p w14:paraId="67FF4B3F"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(5) Instituţiile transmit informaţiile privind distribuţia geografică a expunerilor pe ţări, precum și expunerile agregate la nivel total, astfel cum sunt specificate în anexa I formularul 9, în conformitate cu instrucţiunile din anexa II partea II punctul 3.4.</w:t>
            </w:r>
          </w:p>
          <w:p w14:paraId="47F68CDF"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 xml:space="preserve">Instituţiile transmit informaţiile specificate în formularele 9.1 și 9.2 și în special informaţiile privind distribuţia geografică a expunerilor pe ţări, în cazul în care expunerile iniţiale altele decât expunerile interne din toate celelalte ţări „altele decât ţara proprie” și din toate clasele de expuneri, astfel cum sunt raportate în anexa I formularul 4 rândul 0850, sunt mai mari sau egale cu 10 % din totalul expunerilor iniţiale, atât interne, cât și altele decât interne, astfel cum sunt raportate în conformitate cu anexa I formularul 4 rândul 0860. Se consideră că expunerile sunt interne în </w:t>
            </w:r>
            <w:r w:rsidRPr="00BF7956">
              <w:rPr>
                <w:rFonts w:eastAsia="Arial Unicode MS"/>
                <w:bCs/>
                <w:sz w:val="20"/>
                <w:szCs w:val="20"/>
                <w:lang w:val="it-IT"/>
              </w:rPr>
              <w:lastRenderedPageBreak/>
              <w:t>cazul în care este vorba de expuneri faţă de contrapărţile situate în statul membru în care este stabilită instituţia.</w:t>
            </w:r>
          </w:p>
          <w:p w14:paraId="588730CF"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Se aplică criteriile de intrare și de ieșire prevăzute la articolul 4.</w:t>
            </w:r>
          </w:p>
          <w:p w14:paraId="55686152"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(6) Instituţiile transmit informaţiile privind riscul de credit al contrapărţii specificate în anexa I formularele 34.01-34.05 și 34.08-34.10, în conformitate cu instrucţiunile din anexa II partea II punctul 3.9.</w:t>
            </w:r>
          </w:p>
          <w:p w14:paraId="206A64C0"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(7) Instituţiile care aplică abordarea standardizată sau metoda modelului intern pentru calcularea expunerilor la riscul de credit al contrapărţii în conformitate cu partea a treia titlul II capitolul 6 secţiunile 3 și 6 din Regulamentul (UE) nr. 575/2013 transmit informaţiile privind riscul de credit al contrapărţii specificate în anexa I formularul 34.06 în conformitate cu instrucţiunile din anexa II partea II punctul 3.9.7.</w:t>
            </w:r>
          </w:p>
          <w:p w14:paraId="1B340610" w14:textId="77777777" w:rsidR="002605C4" w:rsidRPr="00BF7956" w:rsidRDefault="00105749" w:rsidP="00105749">
            <w:pPr>
              <w:jc w:val="both"/>
              <w:rPr>
                <w:rFonts w:eastAsia="Arial Unicode MS"/>
                <w:bCs/>
                <w:sz w:val="20"/>
                <w:szCs w:val="20"/>
                <w:lang w:val="it-IT"/>
              </w:rPr>
            </w:pPr>
            <w:r w:rsidRPr="00BF7956">
              <w:rPr>
                <w:rFonts w:eastAsia="Arial Unicode MS"/>
                <w:bCs/>
                <w:sz w:val="20"/>
                <w:szCs w:val="20"/>
                <w:lang w:val="it-IT"/>
              </w:rPr>
              <w:t xml:space="preserve">(8) Instituţiile transmit informaţiile privind expunerile din titluri de capital tratate conform abordării bazate pe ratinguri interne, astfel cum sunt specificate în anexa I formularul 10, în conformitate cu instrucţiunile din anexa II partea II punctul 3.5. </w:t>
            </w:r>
          </w:p>
          <w:p w14:paraId="2CE388A9"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(9) Instituţiile transmit informaţiile privind riscul de decontare specificate în anexa I formularul 11 în conformitate cu instrucţiunile din anexa II partea II punctul 3.6.</w:t>
            </w:r>
          </w:p>
          <w:p w14:paraId="2FFE85F3"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(10) Instituţiile transmit informaţiile privind expunerile din securitizări specificate în anexa I formularul 13.01 în conformitate cu instrucţiunile din anexa II partea II punctul 3.7.</w:t>
            </w:r>
          </w:p>
          <w:p w14:paraId="52658ADA"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(11) Instituţiile transmit informaţiile privind cerinţele de fonduri proprii și pierderile legate de riscurile operaţionale specificate în anexa I formularul 16 în conformitate cu instrucţiunile din anexa II partea II punctul 4.1.</w:t>
            </w:r>
          </w:p>
          <w:p w14:paraId="1C8CA34A"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(12) Instituţiile transmit informaţiile privind cerinţele de fonduri proprii legate de riscul de piaţă specificate în anexa I formularele 18-24 în conformitate cu instrucţiunile din anexa II partea II punctele 5.1-5.7.</w:t>
            </w:r>
          </w:p>
          <w:p w14:paraId="5A611C68"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lastRenderedPageBreak/>
              <w:t>(13) Instituţiile transmit informaţiile privind cerinţele de fonduri proprii legate de riscul de ajustare a evaluării creditului specificate în anexa I formularul 25 în conformitate cu instrucţiunile din anexa II partea II punctul 5.8.</w:t>
            </w:r>
          </w:p>
          <w:p w14:paraId="5A8BA968"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(14) Instituţiile transmit informaţiile privind evaluarea prudentă specificate în anexa I formularul 32 în conformitate cu instrucţiunile din anexa II partea II punctul 6, după cum urmează:</w:t>
            </w:r>
          </w:p>
          <w:p w14:paraId="3AEEDCA3"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(a) toate instituţiile transmit informaţiile specificate în anexa I formularul 32.1 în conformitate cu instrucţiunile din anexa II partea II punctul 6;</w:t>
            </w:r>
          </w:p>
          <w:p w14:paraId="78933B98"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(b) în plus faţă de informaţiile menţionate la prezentul alineat litera (a), instituţiile care aplică abordarea de bază în conformitate cu Regulamentul delegat (UE) 2016/101 al Comisiei ( 1 ) raportează și informaţiile specificate în anexa I formularul 32.2 în conformitate cu instrucţiunile din anexa II partea II punctul 6;</w:t>
            </w:r>
          </w:p>
          <w:p w14:paraId="43622304"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(c) în plus faţă de informaţiile menţionate la prezentul alineat literele (a) și (b), instituţiile care aplică abordarea de bază în conformitate cu Regulamentul delegat (UE) 2016/101 al Comisiei și care depășesc pragurile menţionate la articolul 4 alineatul (1) din respectivul regulament raportează și informaţiile specificate în anexa I formularele 32.3 și 32.4 în conformitate cu instrucţiunile din anexa II partea II punctul 6.</w:t>
            </w:r>
          </w:p>
          <w:p w14:paraId="26E62067" w14:textId="77777777"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În sensul prezentului alineat, criteriile de intrare și de ieșire prevăzute la articolul 4 nu se aplică.</w:t>
            </w:r>
          </w:p>
          <w:p w14:paraId="03B0CCD1" w14:textId="6575E1FD" w:rsidR="00105749" w:rsidRPr="00BF7956" w:rsidRDefault="00105749" w:rsidP="00105749">
            <w:pPr>
              <w:jc w:val="both"/>
              <w:rPr>
                <w:rFonts w:eastAsia="Arial Unicode MS"/>
                <w:bCs/>
                <w:sz w:val="20"/>
                <w:szCs w:val="20"/>
                <w:lang w:val="it-IT"/>
              </w:rPr>
            </w:pPr>
            <w:r w:rsidRPr="00BF7956">
              <w:rPr>
                <w:rFonts w:eastAsia="Arial Unicode MS"/>
                <w:bCs/>
                <w:sz w:val="20"/>
                <w:szCs w:val="20"/>
                <w:lang w:val="it-IT"/>
              </w:rPr>
              <w:t>(15) Instituţiile transmit informaţiile privind mecanismul de protecţie prudenţial pentru expunerile neperformante specificate în anexa I formularele 35.01, 35.02 și 35.03 în conformitate cu instrucţiunile din anexa II partea II punctul 8.</w:t>
            </w:r>
          </w:p>
        </w:tc>
        <w:tc>
          <w:tcPr>
            <w:tcW w:w="4536" w:type="dxa"/>
            <w:shd w:val="clear" w:color="auto" w:fill="auto"/>
          </w:tcPr>
          <w:p w14:paraId="30AE1E08" w14:textId="59EEA51A" w:rsidR="0013092B" w:rsidRPr="00BF7956" w:rsidRDefault="0013092B" w:rsidP="0007403C">
            <w:pPr>
              <w:autoSpaceDE w:val="0"/>
              <w:autoSpaceDN w:val="0"/>
              <w:adjustRightInd w:val="0"/>
              <w:spacing w:before="60" w:after="60"/>
              <w:rPr>
                <w:color w:val="000000"/>
                <w:sz w:val="20"/>
                <w:szCs w:val="20"/>
                <w:lang w:val="ro-RO"/>
              </w:rPr>
            </w:pPr>
          </w:p>
        </w:tc>
        <w:tc>
          <w:tcPr>
            <w:tcW w:w="1418" w:type="dxa"/>
          </w:tcPr>
          <w:p w14:paraId="22C2E3E9" w14:textId="4C230F09" w:rsidR="0013092B" w:rsidRPr="00BF7956" w:rsidRDefault="000D4D0F" w:rsidP="000D4D0F">
            <w:pPr>
              <w:rPr>
                <w:b/>
                <w:strike/>
                <w:sz w:val="20"/>
                <w:szCs w:val="20"/>
                <w:lang w:val="ro-RO"/>
              </w:rPr>
            </w:pPr>
            <w:r w:rsidRPr="00BF7956">
              <w:rPr>
                <w:sz w:val="20"/>
                <w:szCs w:val="20"/>
                <w:lang w:val="ro-RO"/>
              </w:rPr>
              <w:t xml:space="preserve">Nu se transpune în </w:t>
            </w:r>
            <w:r w:rsidRPr="00BF7956">
              <w:rPr>
                <w:sz w:val="20"/>
                <w:szCs w:val="20"/>
                <w:lang w:val="ro-RO"/>
              </w:rPr>
              <w:lastRenderedPageBreak/>
              <w:t>prezentul proiect</w:t>
            </w:r>
          </w:p>
        </w:tc>
        <w:tc>
          <w:tcPr>
            <w:tcW w:w="2223" w:type="dxa"/>
          </w:tcPr>
          <w:p w14:paraId="29AE34AB" w14:textId="77777777" w:rsidR="0013092B" w:rsidRPr="00BF7956" w:rsidRDefault="0013092B" w:rsidP="0013092B">
            <w:pPr>
              <w:jc w:val="both"/>
              <w:rPr>
                <w:sz w:val="20"/>
                <w:szCs w:val="20"/>
                <w:lang w:val="ro-RO"/>
              </w:rPr>
            </w:pPr>
          </w:p>
        </w:tc>
        <w:tc>
          <w:tcPr>
            <w:tcW w:w="1134" w:type="dxa"/>
            <w:tcBorders>
              <w:top w:val="single" w:sz="4" w:space="0" w:color="auto"/>
              <w:bottom w:val="single" w:sz="4" w:space="0" w:color="auto"/>
            </w:tcBorders>
          </w:tcPr>
          <w:p w14:paraId="1B27417D" w14:textId="77777777" w:rsidR="0013092B" w:rsidRPr="00BF7956" w:rsidRDefault="0013092B" w:rsidP="0013092B">
            <w:pPr>
              <w:jc w:val="both"/>
              <w:rPr>
                <w:sz w:val="20"/>
                <w:szCs w:val="20"/>
                <w:lang w:val="ro-RO"/>
              </w:rPr>
            </w:pPr>
          </w:p>
        </w:tc>
        <w:tc>
          <w:tcPr>
            <w:tcW w:w="992" w:type="dxa"/>
          </w:tcPr>
          <w:p w14:paraId="4C08292F" w14:textId="77777777" w:rsidR="0013092B" w:rsidRPr="00BF7956" w:rsidRDefault="0013092B" w:rsidP="0013092B">
            <w:pPr>
              <w:jc w:val="both"/>
              <w:rPr>
                <w:sz w:val="20"/>
                <w:szCs w:val="20"/>
                <w:lang w:val="ro-RO"/>
              </w:rPr>
            </w:pPr>
          </w:p>
        </w:tc>
      </w:tr>
      <w:tr w:rsidR="006B4614" w:rsidRPr="002C43F1" w14:paraId="64B15583" w14:textId="77777777" w:rsidTr="00C25F84">
        <w:tc>
          <w:tcPr>
            <w:tcW w:w="4576" w:type="dxa"/>
          </w:tcPr>
          <w:p w14:paraId="66CA1DE6" w14:textId="0DFCA316" w:rsidR="006B4614" w:rsidRPr="00BF7956" w:rsidRDefault="0025464F" w:rsidP="006B4614">
            <w:pPr>
              <w:pStyle w:val="CM4"/>
              <w:spacing w:before="60" w:after="60"/>
              <w:rPr>
                <w:color w:val="000000"/>
                <w:sz w:val="20"/>
                <w:szCs w:val="20"/>
              </w:rPr>
            </w:pPr>
            <w:r w:rsidRPr="00BF7956">
              <w:rPr>
                <w:i/>
                <w:iCs/>
                <w:color w:val="000000"/>
                <w:sz w:val="20"/>
                <w:szCs w:val="20"/>
              </w:rPr>
              <w:lastRenderedPageBreak/>
              <w:t xml:space="preserve"> </w:t>
            </w:r>
            <w:r w:rsidR="006B4614" w:rsidRPr="00BF7956">
              <w:rPr>
                <w:i/>
                <w:iCs/>
                <w:color w:val="000000"/>
                <w:sz w:val="20"/>
                <w:szCs w:val="20"/>
              </w:rPr>
              <w:t xml:space="preserve">Articolul 6 </w:t>
            </w:r>
          </w:p>
          <w:p w14:paraId="3234D27D" w14:textId="0564B225" w:rsidR="00105749" w:rsidRPr="00BF7956" w:rsidRDefault="006B4614" w:rsidP="00105749">
            <w:pPr>
              <w:jc w:val="both"/>
              <w:rPr>
                <w:color w:val="000000"/>
                <w:sz w:val="20"/>
                <w:szCs w:val="20"/>
                <w:lang w:val="it-IT"/>
              </w:rPr>
            </w:pPr>
            <w:r w:rsidRPr="00BF7956">
              <w:rPr>
                <w:b/>
                <w:bCs/>
                <w:color w:val="000000"/>
                <w:sz w:val="20"/>
                <w:szCs w:val="20"/>
                <w:lang w:val="it-IT"/>
              </w:rPr>
              <w:t>Raportarea pe bază individuală cu privire la fondurile proprii și la cerinţele de fonduri proprii – raportare bianuală</w:t>
            </w:r>
          </w:p>
          <w:p w14:paraId="2F7BD117" w14:textId="77777777" w:rsidR="00105749" w:rsidRPr="00BF7956" w:rsidRDefault="00105749" w:rsidP="00105749">
            <w:pPr>
              <w:pStyle w:val="CM4"/>
              <w:spacing w:before="60" w:after="60"/>
              <w:rPr>
                <w:color w:val="000000"/>
                <w:sz w:val="20"/>
                <w:szCs w:val="20"/>
              </w:rPr>
            </w:pPr>
            <w:r w:rsidRPr="00BF7956">
              <w:rPr>
                <w:color w:val="000000"/>
                <w:sz w:val="20"/>
                <w:szCs w:val="20"/>
              </w:rPr>
              <w:lastRenderedPageBreak/>
              <w:t xml:space="preserve">(1) Pentru a raporta pe bază individuală informaţiile privind fondurile proprii și cerinţele de fonduri proprii în conformitate cu articolul 430 alineatul (1) litera (a) din Regulamentul (UE) nr. 575/2013, instituţiile transmit informaţiile menţionate la prezentul articol cu o frecvenţă bianuală. </w:t>
            </w:r>
          </w:p>
          <w:p w14:paraId="3C11245D"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(2) Instituţiile transmit informaţiile privind expunerile din securitizări specificate în anexa I formularele 14 și 14.01 în conformitate cu instrucţiunile din anexa II partea II punctul 3.8, cu excepţia cazului în care respectivele instituţii fac parte dintr-un grup aflat în aceeași ţară în care acestea sunt supuse cerinţelor în materie de fonduri proprii. </w:t>
            </w:r>
          </w:p>
          <w:p w14:paraId="78ACE8C9"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(3) Instituţiile transmit informaţiile privind expunerile suverane după cum urmează: </w:t>
            </w:r>
          </w:p>
          <w:p w14:paraId="1C6B6188"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(a) în cazul în care valoarea contabilă agregată a activelor financiare din sectorul contrapărţii „Administraţii publice” este mai mare sau egală cu 1 % din suma valorilor contabile totale pentru „Titluri de datorie” și „Credite și avansuri”, instituţiile transmit informaţiile specificate în anexa I formularul 33 în conformitate cu instrucţiunile din anexa II partea II punctul 7 și urmează instrucţiunile din anexa V în ceea ce privește formularul 4 din anexa III sau anexa IV, după caz, pentru a calcula valorile relevante; </w:t>
            </w:r>
          </w:p>
          <w:p w14:paraId="5E895148"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(b) în cazul în care valoarea raportată pentru expunerile interne din active financiare nederivate conform definiţiei din anexa I formularul 33 coloana 0010 rândul 0010 este mai mică de 90 % din valoarea raportată pentru expunerile interne și pentru alte expuneri decât cele interne pentru același punct de date, instituţiile care îndeplinesc condiţia menţionată la litera (a) transmit informaţiile specificate în anexa I formularul 33 în conformitate cu instrucţiunile din anexa II partea II punctul 7, cu o defalcare completă pe ţări; </w:t>
            </w:r>
          </w:p>
          <w:p w14:paraId="55001DCF" w14:textId="77777777" w:rsidR="00105749" w:rsidRPr="00BF7956" w:rsidRDefault="00105749" w:rsidP="00105749">
            <w:pPr>
              <w:pStyle w:val="CM4"/>
              <w:spacing w:before="60" w:after="60"/>
              <w:rPr>
                <w:color w:val="000000"/>
                <w:sz w:val="20"/>
                <w:szCs w:val="20"/>
              </w:rPr>
            </w:pPr>
            <w:r w:rsidRPr="00BF7956">
              <w:rPr>
                <w:color w:val="000000"/>
                <w:sz w:val="20"/>
                <w:szCs w:val="20"/>
              </w:rPr>
              <w:lastRenderedPageBreak/>
              <w:t xml:space="preserve">(c) instituţiile care îndeplinesc condiţiile menţionate la litera (a) și nu îndeplinesc condiţia menţionată la litera (b) transmit informaţiile specificate în formularul 33 în conformitate cu instrucţiunile din anexa II partea II punctul 7, cu expunerile agregate: </w:t>
            </w:r>
          </w:p>
          <w:p w14:paraId="00846233"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(i) la nivel total; și </w:t>
            </w:r>
          </w:p>
          <w:p w14:paraId="71B7E364"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(ii) la nivel intern. </w:t>
            </w:r>
          </w:p>
          <w:p w14:paraId="369B5B41"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Se aplică criteriile de intrare și de ieșire prevăzute la articolul 4 alineatul (3). </w:t>
            </w:r>
          </w:p>
          <w:p w14:paraId="0108AF99"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(4) Informaţiile privind pierderile semnificative legate de riscul operaţional se raportează după cum urmează: </w:t>
            </w:r>
          </w:p>
          <w:p w14:paraId="2942FF32" w14:textId="0CF98344" w:rsidR="00105749" w:rsidRPr="00BF7956" w:rsidRDefault="00105749" w:rsidP="00105749">
            <w:pPr>
              <w:jc w:val="both"/>
              <w:rPr>
                <w:color w:val="000000"/>
                <w:sz w:val="20"/>
                <w:szCs w:val="20"/>
                <w:lang w:val="it-IT"/>
              </w:rPr>
            </w:pPr>
            <w:r w:rsidRPr="00BF7956">
              <w:rPr>
                <w:color w:val="000000"/>
                <w:sz w:val="20"/>
                <w:szCs w:val="20"/>
                <w:lang w:val="it-IT"/>
              </w:rPr>
              <w:t>(a) instituţiile care calculează cerinţele de fonduri proprii legate de riscurile operaţionale în conformitate cu partea a treia titlul III capitolul 4 din Regulamentul (UE) nr. 575/2013 raportează aceste informaţii astfel cum se specifică în anexa I formularele 17.01 și 17.02, în conformitate cu instrucţiunile din anexa II partea II punctul 4.2;</w:t>
            </w:r>
          </w:p>
          <w:p w14:paraId="0A44F34A"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(b) instituţiile mari care calculează cerinţele de fonduri proprii legate de riscurile operaţionale în conformitate cu partea a treia titlul III capitolul 3 din Regulamentul (UE) nr. 575/2013 raportează aceste informaţii astfel cum se specifică în anexa I formularele 17.01 și 17.02, în conformitate cu instrucţiunile din anexa II partea II punctul 4.2; </w:t>
            </w:r>
          </w:p>
          <w:p w14:paraId="12361FDC"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(c) instituţiile, altele decât instituţiile mari care calculează cerinţele de fonduri proprii legate de riscurile operaţionale în conformitate cu partea a treia titlul III capitolul 3 din Regulamentul (UE) nr. 575/2013 raportează, în conformitate cu instrucţiunile din anexa II partea II punctul 4.2, următoarele informaţii: </w:t>
            </w:r>
          </w:p>
          <w:p w14:paraId="4170FF12"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(i) informaţiile specificate în anexa I formularul 17.01 coloana 0080 pentru următoarele rânduri: </w:t>
            </w:r>
          </w:p>
          <w:p w14:paraId="26F623F4"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numărul de evenimente (evenimente noi) (rândul 0910); </w:t>
            </w:r>
          </w:p>
          <w:p w14:paraId="4BCE11AB" w14:textId="77777777" w:rsidR="00105749" w:rsidRPr="00BF7956" w:rsidRDefault="00105749" w:rsidP="00105749">
            <w:pPr>
              <w:pStyle w:val="CM4"/>
              <w:spacing w:before="60" w:after="60"/>
              <w:rPr>
                <w:color w:val="000000"/>
                <w:sz w:val="20"/>
                <w:szCs w:val="20"/>
              </w:rPr>
            </w:pPr>
            <w:r w:rsidRPr="00BF7956">
              <w:rPr>
                <w:color w:val="000000"/>
                <w:sz w:val="20"/>
                <w:szCs w:val="20"/>
              </w:rPr>
              <w:lastRenderedPageBreak/>
              <w:t xml:space="preserve">— cuantumul pierderilor brute (evenimente noi) (rândul 0920); </w:t>
            </w:r>
          </w:p>
          <w:p w14:paraId="3B88B8A5"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numărul de evenimente care fac obiectul unor ajustări ale pierderilor (rândul 0930); </w:t>
            </w:r>
          </w:p>
          <w:p w14:paraId="07205E86"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ajustări ale pierderilor referitoare la perioadele de raportare anterioare (rândul 0940); </w:t>
            </w:r>
          </w:p>
          <w:p w14:paraId="7FD6E037"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pierderea singulară maximă (rândul 0950); </w:t>
            </w:r>
          </w:p>
          <w:p w14:paraId="71649E41"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suma celor mai mari cinci pierderi (rândul 0960); </w:t>
            </w:r>
          </w:p>
          <w:p w14:paraId="3C18229E"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recuperarea totală directă a pierderii (cu excepţia asigurărilor și a altor mecanisme de transfer al riscului) (rândul 0970); </w:t>
            </w:r>
          </w:p>
          <w:p w14:paraId="04F4DCBF"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 recuperări totale din asigurări și alte mecanisme de transfer al riscului (rândul 0980); </w:t>
            </w:r>
          </w:p>
          <w:p w14:paraId="40C53A98"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(ii) informaţiile specificate în anexa I formularul 17.02; </w:t>
            </w:r>
          </w:p>
          <w:p w14:paraId="69659D54"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(d) instituţiile menţionate la litera (c) pot raporta setul complet de informaţii specificate în anexa I formularele 17.01 și 17.02 în conformitate cu instrucţiunile din anexa II partea II punctul 4.2; </w:t>
            </w:r>
          </w:p>
          <w:p w14:paraId="7A517D9F"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(e) instituţiile mari care calculează cerinţele de fonduri proprii legate de riscurile operaţionale în conformitate cu partea a treia titlul III capitolul 2 din Regulamentul (UE) nr. 575/2013 raportează informaţiile specificate în anexa I formularele 17.01 și 17.02, în conformitate cu instrucţiunile din anexa II partea II punctul 4.2; </w:t>
            </w:r>
          </w:p>
          <w:p w14:paraId="234D425C" w14:textId="77777777" w:rsidR="00105749" w:rsidRPr="00BF7956" w:rsidRDefault="00105749" w:rsidP="00105749">
            <w:pPr>
              <w:pStyle w:val="CM4"/>
              <w:spacing w:before="60" w:after="60"/>
              <w:rPr>
                <w:color w:val="000000"/>
                <w:sz w:val="20"/>
                <w:szCs w:val="20"/>
              </w:rPr>
            </w:pPr>
            <w:r w:rsidRPr="00BF7956">
              <w:rPr>
                <w:color w:val="000000"/>
                <w:sz w:val="20"/>
                <w:szCs w:val="20"/>
              </w:rPr>
              <w:t xml:space="preserve">(f) instituţiile, altele decât instituţiile mari care calculează cerinţele de fonduri proprii legate de riscurile operaţionale în conformitate cu partea a treia titlul III capitolul 2 din Regulamentul (UE) nr. 575/2013 pot raporta informaţiile specificate în anexa I formularele 17.01 și 17.02 în conformitate cu instrucţiunile din anexa II partea II punctul 4.2. </w:t>
            </w:r>
          </w:p>
          <w:p w14:paraId="0533EB6E" w14:textId="65F7982A" w:rsidR="00105749" w:rsidRPr="00BF7956" w:rsidRDefault="00105749" w:rsidP="00105749">
            <w:pPr>
              <w:jc w:val="both"/>
              <w:rPr>
                <w:color w:val="000000"/>
                <w:sz w:val="20"/>
                <w:szCs w:val="20"/>
                <w:lang w:val="it-IT"/>
              </w:rPr>
            </w:pPr>
            <w:r w:rsidRPr="00BF7956">
              <w:rPr>
                <w:color w:val="000000"/>
                <w:sz w:val="20"/>
                <w:szCs w:val="20"/>
                <w:lang w:val="it-IT"/>
              </w:rPr>
              <w:t>Se aplică criteriile de intrare și de ieșire prevăzute la articolul 4 alineatul (3).</w:t>
            </w:r>
          </w:p>
          <w:p w14:paraId="792C38C7" w14:textId="468100B5" w:rsidR="00105749" w:rsidRPr="00BF7956" w:rsidRDefault="00105749" w:rsidP="00105749">
            <w:pPr>
              <w:jc w:val="both"/>
              <w:rPr>
                <w:color w:val="000000"/>
                <w:sz w:val="20"/>
                <w:szCs w:val="20"/>
                <w:lang w:val="it-IT"/>
              </w:rPr>
            </w:pPr>
            <w:r w:rsidRPr="00BF7956">
              <w:rPr>
                <w:color w:val="000000"/>
                <w:sz w:val="20"/>
                <w:szCs w:val="20"/>
                <w:lang w:val="it-IT"/>
              </w:rPr>
              <w:t xml:space="preserve">(5) Instituţiile care aplică abordarea standardizată simplificată sau metoda expunerii iniţiale pentru </w:t>
            </w:r>
            <w:r w:rsidRPr="00BF7956">
              <w:rPr>
                <w:color w:val="000000"/>
                <w:sz w:val="20"/>
                <w:szCs w:val="20"/>
                <w:lang w:val="it-IT"/>
              </w:rPr>
              <w:lastRenderedPageBreak/>
              <w:t>calcularea expunerilor la riscul de credit al contrapărţii în conformitate cu partea a treia titlul II capitolul 6 secţiunile 4 și 5 din Regulamentul (UE) nr. 575/2013 transmit informaţiile privind riscul de credit al contrapărţii specificate în anexa I formularul 34.06 în conformitate cu instrucţiunile din anexa II partea II punctul 3.9.7.</w:t>
            </w:r>
          </w:p>
          <w:p w14:paraId="26487DA5" w14:textId="45453209" w:rsidR="00105749" w:rsidRPr="00BF7956" w:rsidRDefault="00105749" w:rsidP="00105749">
            <w:pPr>
              <w:jc w:val="both"/>
              <w:rPr>
                <w:rFonts w:eastAsia="Arial Unicode MS"/>
                <w:bCs/>
                <w:sz w:val="20"/>
                <w:szCs w:val="20"/>
                <w:lang w:val="it-IT"/>
              </w:rPr>
            </w:pPr>
          </w:p>
        </w:tc>
        <w:tc>
          <w:tcPr>
            <w:tcW w:w="4536" w:type="dxa"/>
            <w:shd w:val="clear" w:color="auto" w:fill="auto"/>
          </w:tcPr>
          <w:p w14:paraId="4608DBA9"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5CDFCF7D" w14:textId="2767FFD4"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1127DA3C"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40EBF1E2" w14:textId="77777777" w:rsidR="006B4614" w:rsidRPr="00BF7956" w:rsidRDefault="006B4614" w:rsidP="00CC6818">
            <w:pPr>
              <w:jc w:val="both"/>
              <w:rPr>
                <w:sz w:val="20"/>
                <w:szCs w:val="20"/>
                <w:lang w:val="ro-RO"/>
              </w:rPr>
            </w:pPr>
          </w:p>
        </w:tc>
        <w:tc>
          <w:tcPr>
            <w:tcW w:w="992" w:type="dxa"/>
          </w:tcPr>
          <w:p w14:paraId="36AB4CE2" w14:textId="77777777" w:rsidR="006B4614" w:rsidRPr="00BF7956" w:rsidRDefault="006B4614" w:rsidP="00CC6818">
            <w:pPr>
              <w:jc w:val="both"/>
              <w:rPr>
                <w:sz w:val="20"/>
                <w:szCs w:val="20"/>
                <w:lang w:val="ro-RO"/>
              </w:rPr>
            </w:pPr>
          </w:p>
        </w:tc>
      </w:tr>
      <w:tr w:rsidR="006B4614" w:rsidRPr="002C43F1" w14:paraId="5B1AA943" w14:textId="77777777" w:rsidTr="00C25F84">
        <w:tc>
          <w:tcPr>
            <w:tcW w:w="4576" w:type="dxa"/>
          </w:tcPr>
          <w:p w14:paraId="0DFC8135" w14:textId="77777777" w:rsidR="006B4614" w:rsidRPr="00BF7956" w:rsidRDefault="006B4614" w:rsidP="006B4614">
            <w:pPr>
              <w:pStyle w:val="CM4"/>
              <w:spacing w:before="60" w:after="60"/>
              <w:rPr>
                <w:color w:val="000000"/>
                <w:sz w:val="20"/>
                <w:szCs w:val="20"/>
              </w:rPr>
            </w:pPr>
            <w:r w:rsidRPr="00BF7956">
              <w:rPr>
                <w:i/>
                <w:iCs/>
                <w:color w:val="000000"/>
                <w:sz w:val="20"/>
                <w:szCs w:val="20"/>
              </w:rPr>
              <w:lastRenderedPageBreak/>
              <w:t xml:space="preserve">Articolul 7 </w:t>
            </w:r>
          </w:p>
          <w:p w14:paraId="6C403BE4" w14:textId="1970CB0D" w:rsidR="00263C0E" w:rsidRPr="00BF7956" w:rsidRDefault="006B4614" w:rsidP="00263C0E">
            <w:pPr>
              <w:jc w:val="both"/>
              <w:rPr>
                <w:color w:val="000000"/>
                <w:sz w:val="20"/>
                <w:szCs w:val="20"/>
                <w:lang w:val="it-IT"/>
              </w:rPr>
            </w:pPr>
            <w:r w:rsidRPr="00BF7956">
              <w:rPr>
                <w:b/>
                <w:bCs/>
                <w:color w:val="000000"/>
                <w:sz w:val="20"/>
                <w:szCs w:val="20"/>
                <w:lang w:val="it-IT"/>
              </w:rPr>
              <w:t xml:space="preserve">Raportarea pe bază consolidată cu privire la fondurile proprii și la cerinţele de fonduri </w:t>
            </w:r>
            <w:r w:rsidR="00263C0E" w:rsidRPr="00BF7956">
              <w:rPr>
                <w:b/>
                <w:bCs/>
                <w:color w:val="000000"/>
                <w:sz w:val="20"/>
                <w:szCs w:val="20"/>
                <w:lang w:val="it-IT"/>
              </w:rPr>
              <w:t>propria</w:t>
            </w:r>
          </w:p>
          <w:p w14:paraId="7746995A"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Pentru a raporta pe bază consolidată informaţiile privind fondurile proprii și cerinţele de fonduri proprii în conformitate cu articolul 430 alineatul (1) litera (a) din Regulamentul (UE) nr. 575/2013, instituţiile transmit informaţiile specificate: </w:t>
            </w:r>
          </w:p>
          <w:p w14:paraId="6A7617E4"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la articolele 5 și 6 din prezentul regulament de punere în aplicare, pe bază consolidată, cu frecvenţa specificată la articolele respective; și </w:t>
            </w:r>
          </w:p>
          <w:p w14:paraId="4DBF887B" w14:textId="4F7F6BF4" w:rsidR="00263C0E" w:rsidRPr="00BF7956" w:rsidRDefault="00263C0E" w:rsidP="00263C0E">
            <w:pPr>
              <w:jc w:val="both"/>
              <w:rPr>
                <w:rFonts w:eastAsia="Arial Unicode MS"/>
                <w:bCs/>
                <w:sz w:val="20"/>
                <w:szCs w:val="20"/>
                <w:lang w:val="ro-MD"/>
              </w:rPr>
            </w:pPr>
            <w:r w:rsidRPr="00BF7956">
              <w:rPr>
                <w:color w:val="000000"/>
                <w:sz w:val="20"/>
                <w:szCs w:val="20"/>
                <w:lang w:val="ro-MD"/>
              </w:rPr>
              <w:t>(b) în anexa I formularul 6, în conformitate cu instrucţiunile prevăzute în anexa II partea II punctul 2, în ceea ce privește entităţile incluse în perimetrul de consolidare, cu o frecvenţă bianuală.</w:t>
            </w:r>
          </w:p>
        </w:tc>
        <w:tc>
          <w:tcPr>
            <w:tcW w:w="4536" w:type="dxa"/>
            <w:shd w:val="clear" w:color="auto" w:fill="auto"/>
          </w:tcPr>
          <w:p w14:paraId="47E3AAC1"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041A8050" w14:textId="10E415B4"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07B93A82" w14:textId="5BCE356A"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68063E9A" w14:textId="77777777" w:rsidR="006B4614" w:rsidRPr="00BF7956" w:rsidRDefault="006B4614" w:rsidP="00CC6818">
            <w:pPr>
              <w:jc w:val="both"/>
              <w:rPr>
                <w:sz w:val="20"/>
                <w:szCs w:val="20"/>
                <w:lang w:val="ro-RO"/>
              </w:rPr>
            </w:pPr>
          </w:p>
        </w:tc>
        <w:tc>
          <w:tcPr>
            <w:tcW w:w="992" w:type="dxa"/>
          </w:tcPr>
          <w:p w14:paraId="529C8EAF" w14:textId="77777777" w:rsidR="006B4614" w:rsidRPr="00BF7956" w:rsidRDefault="006B4614" w:rsidP="00CC6818">
            <w:pPr>
              <w:jc w:val="both"/>
              <w:rPr>
                <w:sz w:val="20"/>
                <w:szCs w:val="20"/>
                <w:lang w:val="ro-RO"/>
              </w:rPr>
            </w:pPr>
          </w:p>
        </w:tc>
      </w:tr>
      <w:tr w:rsidR="006B4614" w:rsidRPr="002C43F1" w14:paraId="469F7604" w14:textId="77777777" w:rsidTr="00C25F84">
        <w:tc>
          <w:tcPr>
            <w:tcW w:w="4576" w:type="dxa"/>
          </w:tcPr>
          <w:p w14:paraId="52977565"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8 </w:t>
            </w:r>
          </w:p>
          <w:p w14:paraId="53648593" w14:textId="0F9B8252" w:rsidR="006B4614" w:rsidRPr="00BF7956" w:rsidRDefault="006B4614" w:rsidP="006B4614">
            <w:pPr>
              <w:jc w:val="both"/>
              <w:rPr>
                <w:b/>
                <w:bCs/>
                <w:color w:val="000000"/>
                <w:sz w:val="20"/>
                <w:szCs w:val="20"/>
                <w:lang w:val="it-IT"/>
              </w:rPr>
            </w:pPr>
            <w:r w:rsidRPr="00BF7956">
              <w:rPr>
                <w:b/>
                <w:bCs/>
                <w:color w:val="000000"/>
                <w:sz w:val="20"/>
                <w:szCs w:val="20"/>
                <w:lang w:val="it-IT"/>
              </w:rPr>
              <w:t xml:space="preserve">Raportarea cu privire la fondurile proprii și la cerinţele de fonduri proprii – cerinţe suplimentare privind raportarea pe bază individuală și pe bază </w:t>
            </w:r>
            <w:r w:rsidR="00263C0E" w:rsidRPr="00BF7956">
              <w:rPr>
                <w:b/>
                <w:bCs/>
                <w:color w:val="000000"/>
                <w:sz w:val="20"/>
                <w:szCs w:val="20"/>
                <w:lang w:val="it-IT"/>
              </w:rPr>
              <w:t>consolidate</w:t>
            </w:r>
          </w:p>
          <w:p w14:paraId="56768A84" w14:textId="77777777" w:rsidR="00263C0E" w:rsidRPr="00BF7956" w:rsidRDefault="00263C0E" w:rsidP="00263C0E">
            <w:pPr>
              <w:jc w:val="both"/>
              <w:rPr>
                <w:rFonts w:eastAsia="Arial Unicode MS"/>
                <w:bCs/>
                <w:sz w:val="20"/>
                <w:szCs w:val="20"/>
                <w:lang w:val="it-IT"/>
              </w:rPr>
            </w:pPr>
            <w:r w:rsidRPr="00BF7956">
              <w:rPr>
                <w:rFonts w:eastAsia="Arial Unicode MS"/>
                <w:bCs/>
                <w:sz w:val="20"/>
                <w:szCs w:val="20"/>
                <w:lang w:val="it-IT"/>
              </w:rPr>
              <w:t xml:space="preserve">(1) Instituţiile care fac obiectul unei cerinţe de a publica informaţiile menţionate la articolul 438 litera (e) sau (h) sau la articolul 452 litera (b), (g) sau (h) din Regulamentul (UE) nr. 575/2013, cu frecvenţa prevăzută la articolul 433a sau la articolul 433c, după caz, pe bază individuală în conformitate cu articolul 6 sau pe bază consolidată în conformitate cu articolul 13, după caz, din regulamentul respectiv, transmit informaţiile privind riscul de credit și riscul de credit al contrapărţii specificate în anexa I formularele 8.3, 8.4, </w:t>
            </w:r>
            <w:r w:rsidRPr="00BF7956">
              <w:rPr>
                <w:rFonts w:eastAsia="Arial Unicode MS"/>
                <w:bCs/>
                <w:sz w:val="20"/>
                <w:szCs w:val="20"/>
                <w:lang w:val="it-IT"/>
              </w:rPr>
              <w:lastRenderedPageBreak/>
              <w:t>8.5, 8.5.1, 8.6, 8.7 și 34.11 din prezentul regulament, cu aceeași frecvenţă și pe aceeași bază, urmând instrucţiunile din anexa II partea II punctele 3.3 și 3.9.12 din prezentul regulament.</w:t>
            </w:r>
          </w:p>
          <w:p w14:paraId="5250E7B5" w14:textId="1CACDE52" w:rsidR="00263C0E" w:rsidRPr="00BF7956" w:rsidRDefault="00263C0E" w:rsidP="00263C0E">
            <w:pPr>
              <w:jc w:val="both"/>
              <w:rPr>
                <w:rFonts w:eastAsia="Arial Unicode MS"/>
                <w:bCs/>
                <w:sz w:val="20"/>
                <w:szCs w:val="20"/>
                <w:lang w:val="it-IT"/>
              </w:rPr>
            </w:pPr>
            <w:r w:rsidRPr="00BF7956">
              <w:rPr>
                <w:rFonts w:eastAsia="Arial Unicode MS"/>
                <w:bCs/>
                <w:sz w:val="20"/>
                <w:szCs w:val="20"/>
                <w:lang w:val="it-IT"/>
              </w:rPr>
              <w:t>(2) Instituţiile care fac obiectul unei cerinţe de a publica informaţiile menţionate la articolul 439 litera (l) din Regulamentul (UE) nr. 575/2013 cu frecvenţa prevăzută la articolul 433a sau la articolul 433c, după caz, pe bază individuală în conformitate cu articolul 6 sau pe bază consolidată în conformitate cu articolul 13, după caz, din regulamentul respectiv, transmit informaţiile privind riscul de credit al contrapărţii specificate în anexa I formularul 34.07 din prezentul regulament, cu aceeași frecvenţă și pe aceeași bază, urmând instrucţiunile din anexa II partea II punctul 3.9.8 din prezentul regulament.</w:t>
            </w:r>
          </w:p>
        </w:tc>
        <w:tc>
          <w:tcPr>
            <w:tcW w:w="4536" w:type="dxa"/>
            <w:shd w:val="clear" w:color="auto" w:fill="auto"/>
          </w:tcPr>
          <w:p w14:paraId="04D5DC5B"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1B733B1E" w14:textId="2CAC9B38"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2EAFC03F"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276EFC44" w14:textId="77777777" w:rsidR="006B4614" w:rsidRPr="00BF7956" w:rsidRDefault="006B4614" w:rsidP="00CC6818">
            <w:pPr>
              <w:jc w:val="both"/>
              <w:rPr>
                <w:sz w:val="20"/>
                <w:szCs w:val="20"/>
                <w:lang w:val="ro-RO"/>
              </w:rPr>
            </w:pPr>
          </w:p>
        </w:tc>
        <w:tc>
          <w:tcPr>
            <w:tcW w:w="992" w:type="dxa"/>
          </w:tcPr>
          <w:p w14:paraId="67D08C33" w14:textId="77777777" w:rsidR="006B4614" w:rsidRPr="00BF7956" w:rsidRDefault="006B4614" w:rsidP="00CC6818">
            <w:pPr>
              <w:jc w:val="both"/>
              <w:rPr>
                <w:sz w:val="20"/>
                <w:szCs w:val="20"/>
                <w:lang w:val="ro-RO"/>
              </w:rPr>
            </w:pPr>
          </w:p>
        </w:tc>
      </w:tr>
      <w:tr w:rsidR="006B4614" w:rsidRPr="002C43F1" w14:paraId="37D747FB" w14:textId="77777777" w:rsidTr="00C25F84">
        <w:tc>
          <w:tcPr>
            <w:tcW w:w="4576" w:type="dxa"/>
          </w:tcPr>
          <w:p w14:paraId="4FDF7F3D"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9 </w:t>
            </w:r>
          </w:p>
          <w:p w14:paraId="6EDA938E" w14:textId="77777777" w:rsidR="006B4614" w:rsidRPr="00BF7956" w:rsidRDefault="006B4614" w:rsidP="006B4614">
            <w:pPr>
              <w:jc w:val="both"/>
              <w:rPr>
                <w:b/>
                <w:bCs/>
                <w:color w:val="000000"/>
                <w:sz w:val="20"/>
                <w:szCs w:val="20"/>
                <w:lang w:val="it-IT"/>
              </w:rPr>
            </w:pPr>
            <w:r w:rsidRPr="00BF7956">
              <w:rPr>
                <w:b/>
                <w:bCs/>
                <w:color w:val="000000"/>
                <w:sz w:val="20"/>
                <w:szCs w:val="20"/>
                <w:lang w:val="it-IT"/>
              </w:rPr>
              <w:t>Raportarea pe bază individuală cu privire la fondurile proprii și la cerinţele de fonduri proprii pentru firmele de investiţii care fac obiectul articolelor 95 și 96 din Regulamentul (UE) nr. 575/2013</w:t>
            </w:r>
          </w:p>
          <w:p w14:paraId="2AE416B6" w14:textId="5BE4DE61" w:rsidR="00263C0E" w:rsidRPr="00BF7956" w:rsidRDefault="00263C0E" w:rsidP="00263C0E">
            <w:pPr>
              <w:jc w:val="both"/>
              <w:rPr>
                <w:rFonts w:eastAsia="Arial Unicode MS"/>
                <w:bCs/>
                <w:sz w:val="20"/>
                <w:szCs w:val="20"/>
                <w:lang w:val="it-IT"/>
              </w:rPr>
            </w:pPr>
            <w:r w:rsidRPr="00BF7956">
              <w:rPr>
                <w:rFonts w:eastAsia="Arial Unicode MS"/>
                <w:bCs/>
                <w:sz w:val="20"/>
                <w:szCs w:val="20"/>
                <w:lang w:val="it-IT"/>
              </w:rPr>
              <w:t xml:space="preserve">(1) Firmele de investiţii care aplică dispoziţiile tranzitorii de la articolul 57 alineatul (3) din Regulamentul (UE) 2019/2033 transmit informaţiile prevăzute la prezentul articol. </w:t>
            </w:r>
          </w:p>
          <w:p w14:paraId="0B480323" w14:textId="77777777" w:rsidR="00263C0E" w:rsidRPr="00BF7956" w:rsidRDefault="00263C0E" w:rsidP="00263C0E">
            <w:pPr>
              <w:jc w:val="both"/>
              <w:rPr>
                <w:rFonts w:eastAsia="Arial Unicode MS"/>
                <w:bCs/>
                <w:sz w:val="20"/>
                <w:szCs w:val="20"/>
                <w:lang w:val="it-IT"/>
              </w:rPr>
            </w:pPr>
            <w:r w:rsidRPr="00BF7956">
              <w:rPr>
                <w:rFonts w:eastAsia="Arial Unicode MS"/>
                <w:bCs/>
                <w:sz w:val="20"/>
                <w:szCs w:val="20"/>
                <w:lang w:val="it-IT"/>
              </w:rPr>
              <w:t>(2) Pentru a raporta pe bază individuală informaţiile privind fondurile proprii și cerinţele de fonduri proprii în conformitate cu articolul 430 alineatul (1) litera (a) din Regulamentul (UE) nr. 575/2013, cu excepţia informaţiilor privind indicatorul efectului de levier, firmele de investiţii care invocă articolul 57 alineatul (3) din Regulamentul (UE) 2019/2033 în ceea ce privește articolul 95 din Regulamentul (UE) nr. 575/2013 transmit informaţiile specificate în anexa I formularele 1-5 în conformitate cu instrucţiunile din anexa II partea II punctul 1, cu o frecvenţă trimestrială.</w:t>
            </w:r>
          </w:p>
          <w:p w14:paraId="6F57D24C" w14:textId="64ACFFF9" w:rsidR="00263C0E" w:rsidRPr="00BF7956" w:rsidRDefault="00263C0E" w:rsidP="00263C0E">
            <w:pPr>
              <w:jc w:val="both"/>
              <w:rPr>
                <w:rFonts w:eastAsia="Arial Unicode MS"/>
                <w:bCs/>
                <w:sz w:val="20"/>
                <w:szCs w:val="20"/>
                <w:lang w:val="it-IT"/>
              </w:rPr>
            </w:pPr>
            <w:r w:rsidRPr="00BF7956">
              <w:rPr>
                <w:rFonts w:eastAsia="Arial Unicode MS"/>
                <w:bCs/>
                <w:sz w:val="20"/>
                <w:szCs w:val="20"/>
                <w:lang w:val="it-IT"/>
              </w:rPr>
              <w:t xml:space="preserve">(3) Pentru a raporta pe bază individuală informaţiile privind fondurile proprii și cerinţele de fonduri proprii </w:t>
            </w:r>
            <w:r w:rsidRPr="00BF7956">
              <w:rPr>
                <w:rFonts w:eastAsia="Arial Unicode MS"/>
                <w:bCs/>
                <w:sz w:val="20"/>
                <w:szCs w:val="20"/>
                <w:lang w:val="it-IT"/>
              </w:rPr>
              <w:lastRenderedPageBreak/>
              <w:t>în conformitate cu articolul 430 alineatul (1) litera (a) din Regulamentul (UE) nr. 575/2013, firmele de investiţii care invocă articolul 57 alineatul (3) din Regulamentul (UE) 2019/2033 în ceea ce privește articolul 96 din Regulamentul (UE) nr. 575/2013 transmit informaţiile menţionate la articolul 5 alineatele (1)-(5) și alineatele (8)-(13) și la articolul 6 alineatul (2) din prezentul regulament, cu frecvenţa prevăzută la articolele respective.</w:t>
            </w:r>
          </w:p>
        </w:tc>
        <w:tc>
          <w:tcPr>
            <w:tcW w:w="4536" w:type="dxa"/>
            <w:shd w:val="clear" w:color="auto" w:fill="auto"/>
          </w:tcPr>
          <w:p w14:paraId="172B8F78"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7D2BAAC2" w14:textId="192146FA"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0F42CF36"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1114127A" w14:textId="77777777" w:rsidR="006B4614" w:rsidRPr="00BF7956" w:rsidRDefault="006B4614" w:rsidP="00CC6818">
            <w:pPr>
              <w:jc w:val="both"/>
              <w:rPr>
                <w:sz w:val="20"/>
                <w:szCs w:val="20"/>
                <w:lang w:val="ro-RO"/>
              </w:rPr>
            </w:pPr>
          </w:p>
        </w:tc>
        <w:tc>
          <w:tcPr>
            <w:tcW w:w="992" w:type="dxa"/>
          </w:tcPr>
          <w:p w14:paraId="4A158D37" w14:textId="77777777" w:rsidR="006B4614" w:rsidRPr="00BF7956" w:rsidRDefault="006B4614" w:rsidP="00CC6818">
            <w:pPr>
              <w:jc w:val="both"/>
              <w:rPr>
                <w:sz w:val="20"/>
                <w:szCs w:val="20"/>
                <w:lang w:val="ro-RO"/>
              </w:rPr>
            </w:pPr>
          </w:p>
        </w:tc>
      </w:tr>
      <w:tr w:rsidR="006B4614" w:rsidRPr="002C43F1" w14:paraId="1134970B" w14:textId="77777777" w:rsidTr="00C25F84">
        <w:tc>
          <w:tcPr>
            <w:tcW w:w="4576" w:type="dxa"/>
          </w:tcPr>
          <w:p w14:paraId="53BD09D6"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10 </w:t>
            </w:r>
          </w:p>
          <w:p w14:paraId="4675289E" w14:textId="77777777" w:rsidR="006B4614" w:rsidRPr="00BF7956" w:rsidRDefault="006B4614" w:rsidP="006B4614">
            <w:pPr>
              <w:jc w:val="both"/>
              <w:rPr>
                <w:b/>
                <w:bCs/>
                <w:color w:val="000000"/>
                <w:sz w:val="20"/>
                <w:szCs w:val="20"/>
                <w:lang w:val="it-IT"/>
              </w:rPr>
            </w:pPr>
            <w:r w:rsidRPr="00BF7956">
              <w:rPr>
                <w:b/>
                <w:bCs/>
                <w:color w:val="000000"/>
                <w:sz w:val="20"/>
                <w:szCs w:val="20"/>
                <w:lang w:val="it-IT"/>
              </w:rPr>
              <w:t>Raportarea pe bază consolidată cu privire la fondurile proprii și la cerinţele de fonduri proprii pentru grupurile constituite numai din firme de investiţii care fac obiectul articolelor 95 și 96 din Regulamentul (UE) nr. 575/2013</w:t>
            </w:r>
          </w:p>
          <w:p w14:paraId="7F0F7FEB"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(1) Firmele de investiţii care aplică dispoziţiile tranzitorii de la articolul 57 alineatul (3) din Regulamentul (UE) 2019/2033 transmit informaţiile prevăzute la prezentul articol. </w:t>
            </w:r>
          </w:p>
          <w:p w14:paraId="10AB4E37"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(2) Pentru a raporta pe bază consolidată informaţiile privind fondurile proprii și cerinţele de fonduri proprii în conformitate cu articolul 430 alineatul (1) litera (a) din Regulamentul (UE) nr. 575/2013, cu excepţia informaţiilor privind indicatorul efectului de levier, firmele de investiţii aparţinând grupurilor constituite numai din firme de investiţii care invocă articolul 57 alineatul (3) din Regulamentul (UE) 2019/2033 în ceea ce privește articolul 95 din Regulamentul (UE) nr. 575/2013 transmit următoarele informaţii pe bază consolidată: </w:t>
            </w:r>
          </w:p>
          <w:p w14:paraId="16E44091"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informaţiile privind fondurile proprii și cerinţele de fonduri proprii specificate în anexa I formularele 1-5 în conformitate cu instrucţiunile din anexa II partea II punctul 1, cu o frecvenţă trimestrială; </w:t>
            </w:r>
          </w:p>
          <w:p w14:paraId="4D8DB113"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(b) informaţiile privind fondurile proprii și cerinţele de fonduri proprii în ceea ce privește entităţile incluse în perimetrul de consolidare, astfel cum se specifică în anexa I formularul 6, în conformitate cu instrucţiunile </w:t>
            </w:r>
            <w:r w:rsidRPr="00BF7956">
              <w:rPr>
                <w:color w:val="000000"/>
                <w:sz w:val="20"/>
                <w:szCs w:val="20"/>
              </w:rPr>
              <w:lastRenderedPageBreak/>
              <w:t xml:space="preserve">din anexa II partea II punctul 2, cu o frecvenţă bianuală. </w:t>
            </w:r>
          </w:p>
          <w:p w14:paraId="4FCEFACC"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(3) Pentru a raporta pe bază consolidată informaţiile privind fondurile proprii și cerinţele de fonduri proprii în conformitate cu articolul 430 alineatul (1) litera (a) din Regulamentul (UE) nr. 575/2013, firmele de investiţii aparţinând grupurilor constituite numai din firme de investiţii care fac obiectul articolului 95 și din firme de investiţii care fac obiectul articolului 96 sau aparţinând grupurilor constituite numai din firme de investiţii care invocă articolul 57 alineatul (3) din Regulamentul (UE) 2019/2033 în ceea ce privește articolul 96 din Regulamentul (UE) nr. 575/2013 transmit următoarele informaţii pe bază consolidată: </w:t>
            </w:r>
          </w:p>
          <w:p w14:paraId="5157BFD4"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informaţiile specificate la articolul 5 alineatele (1)-(5) și (8)-(13) și la articolul 6 alineatul (2) din prezentul regulament, cu frecvenţa prevăzută la articolele respective; </w:t>
            </w:r>
          </w:p>
          <w:p w14:paraId="1A8E4BA2" w14:textId="5EA3EA13" w:rsidR="00263C0E" w:rsidRPr="00BF7956" w:rsidRDefault="00263C0E" w:rsidP="00263C0E">
            <w:pPr>
              <w:pStyle w:val="CM4"/>
              <w:spacing w:before="60" w:after="60"/>
              <w:rPr>
                <w:rFonts w:eastAsia="Arial Unicode MS"/>
                <w:bCs/>
                <w:sz w:val="20"/>
                <w:szCs w:val="20"/>
                <w:lang w:val="it-IT"/>
              </w:rPr>
            </w:pPr>
            <w:r w:rsidRPr="00BF7956">
              <w:rPr>
                <w:color w:val="000000"/>
                <w:sz w:val="20"/>
                <w:szCs w:val="20"/>
                <w:lang w:val="it-IT"/>
              </w:rPr>
              <w:t>(b) informaţiile privind entităţile incluse în perimetrul de consolidare, astfel cum se specifică în anexa I formularul 6, în conformitate cu instrucţiunile din anexa II partea II punctul 2, cu o frecvenţă bianuală.</w:t>
            </w:r>
          </w:p>
        </w:tc>
        <w:tc>
          <w:tcPr>
            <w:tcW w:w="4536" w:type="dxa"/>
            <w:shd w:val="clear" w:color="auto" w:fill="auto"/>
          </w:tcPr>
          <w:p w14:paraId="5FF84DEE"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53D2999F" w14:textId="74CB883C"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515C53C2"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5E062200" w14:textId="77777777" w:rsidR="006B4614" w:rsidRPr="00BF7956" w:rsidRDefault="006B4614" w:rsidP="00CC6818">
            <w:pPr>
              <w:jc w:val="both"/>
              <w:rPr>
                <w:sz w:val="20"/>
                <w:szCs w:val="20"/>
                <w:lang w:val="ro-RO"/>
              </w:rPr>
            </w:pPr>
          </w:p>
        </w:tc>
        <w:tc>
          <w:tcPr>
            <w:tcW w:w="992" w:type="dxa"/>
          </w:tcPr>
          <w:p w14:paraId="2C5342C0" w14:textId="77777777" w:rsidR="006B4614" w:rsidRPr="00BF7956" w:rsidRDefault="006B4614" w:rsidP="00CC6818">
            <w:pPr>
              <w:jc w:val="both"/>
              <w:rPr>
                <w:sz w:val="20"/>
                <w:szCs w:val="20"/>
                <w:lang w:val="ro-RO"/>
              </w:rPr>
            </w:pPr>
          </w:p>
        </w:tc>
      </w:tr>
      <w:tr w:rsidR="006B4614" w:rsidRPr="002C43F1" w14:paraId="7FD38042" w14:textId="77777777" w:rsidTr="00C25F84">
        <w:tc>
          <w:tcPr>
            <w:tcW w:w="4576" w:type="dxa"/>
          </w:tcPr>
          <w:p w14:paraId="5EE1F485" w14:textId="77777777" w:rsidR="006B4614" w:rsidRPr="00BF7956" w:rsidRDefault="006B4614" w:rsidP="000D4D0F">
            <w:pPr>
              <w:pStyle w:val="CM4"/>
              <w:spacing w:before="60" w:after="60"/>
              <w:rPr>
                <w:color w:val="000000"/>
                <w:sz w:val="20"/>
                <w:szCs w:val="20"/>
              </w:rPr>
            </w:pPr>
            <w:r w:rsidRPr="00BF7956">
              <w:rPr>
                <w:i/>
                <w:iCs/>
                <w:color w:val="000000"/>
                <w:sz w:val="20"/>
                <w:szCs w:val="20"/>
              </w:rPr>
              <w:t xml:space="preserve">Articolul 11 </w:t>
            </w:r>
          </w:p>
          <w:p w14:paraId="4498F3DF" w14:textId="77777777" w:rsidR="006B4614" w:rsidRPr="00BF7956" w:rsidRDefault="006B4614" w:rsidP="000D4D0F">
            <w:pPr>
              <w:rPr>
                <w:color w:val="000000"/>
                <w:sz w:val="20"/>
                <w:szCs w:val="20"/>
                <w:lang w:val="it-IT"/>
              </w:rPr>
            </w:pPr>
            <w:r w:rsidRPr="00BF7956">
              <w:rPr>
                <w:b/>
                <w:bCs/>
                <w:color w:val="000000"/>
                <w:sz w:val="20"/>
                <w:szCs w:val="20"/>
                <w:lang w:val="it-IT"/>
              </w:rPr>
              <w:t xml:space="preserve">Raportarea informaţiilor financiare pe bază consolidată pentru instituţiile care fac obiectul Regulamentului (CE) nr. 1606/2002 al Parlamentului European și al Consiliului </w:t>
            </w:r>
            <w:r w:rsidRPr="00BF7956">
              <w:rPr>
                <w:color w:val="000000"/>
                <w:sz w:val="20"/>
                <w:szCs w:val="20"/>
                <w:lang w:val="it-IT"/>
              </w:rPr>
              <w:t>( 1 )</w:t>
            </w:r>
          </w:p>
          <w:p w14:paraId="12A9A5F8"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(1) Pentru a raporta informaţii financiare pe bază consolidată în conformitate cu articolul 430 alineatul (3) sau (4) din Regulamentul (UE) nr. 575/2013, instituţiile transmit informaţiile specificate în anexa III, pe bază consolidată, în conformitate cu instrucţiunile din anexa V.</w:t>
            </w:r>
          </w:p>
          <w:p w14:paraId="1150C3EF"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(2) Informaţiile menţionate la alineatul (1) se furnizează după cum urmează:</w:t>
            </w:r>
          </w:p>
          <w:p w14:paraId="62795B13"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(a) informaţiile specificate în anexa III partea 1, cu o frecvenţă trimestrială;</w:t>
            </w:r>
          </w:p>
          <w:p w14:paraId="64A7CB08"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lastRenderedPageBreak/>
              <w:t>(b) informaţiile specificate în anexa III partea 3, cu o frecvenţă bianuală;</w:t>
            </w:r>
          </w:p>
          <w:p w14:paraId="1424D7A9"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(c) informaţiile specificate în anexa III partea 4, cu excepţia informaţiilor specificate în formularul 47, cu o frecvenţă anuală;</w:t>
            </w:r>
          </w:p>
          <w:p w14:paraId="64723B7E"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(d) informaţiile specificate în anexa III partea 2 formularul 20, cu o frecvenţă trimestrială, în cazul în care instituţia depășește pragul prevăzut la articolul 5 alineatul (5) al doilea paragraf;</w:t>
            </w:r>
          </w:p>
          <w:p w14:paraId="0D614D75"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(e) informaţiile specificate în anexa III partea 2 formularul 21, cu o frecvenţă trimestrială, în cazul în care activele corporale care fac obiectul unor contracte de leasing operaţional sunt mai mari sau egale cu 10 % din totalul activelor corporale, astfel cum sunt raportate în conformitate cu anexa III partea 1 formularul 1.1;</w:t>
            </w:r>
          </w:p>
          <w:p w14:paraId="68E53E91"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(f) informaţiile specificate în anexa III partea 2 formularul 22, cu o frecvenţă trimestrială, în cazul în care veniturile nete din onorarii și comisioane sunt mai mari sau egale cu 10 % din suma dintre veniturile nete din onorarii și comisioane și veniturile nete din dobânzi, astfel cum sunt raportate în anexa III partea 1 formularul 2;</w:t>
            </w:r>
          </w:p>
          <w:p w14:paraId="3D9E424D"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(g) informaţiile specificate în anexa III partea 2 formularele 23-26, cu o frecvenţă trimestrială, în cazul în care sunt îndeplinite ambele condiţii de mai jos:</w:t>
            </w:r>
          </w:p>
          <w:p w14:paraId="7B6266F3"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(i) instituţia nu este o instituţie mică și cu un grad redus de complexitate;</w:t>
            </w:r>
          </w:p>
          <w:p w14:paraId="09147676"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(ii) raportul dintre valoarea contabilă brută a creditelor și avansurilor instituţiei care intră sub incidenţa articolului 47a alineatul (3) din Regulamentul (UE) nr. 575/2013 și valoarea contabilă brută totală a creditelor și avansurilor care intră sub incidenţa articolului 47a alineatul (1) din regulamentul respectiv este mai mare sau egal cu 5 %;</w:t>
            </w:r>
          </w:p>
          <w:p w14:paraId="3A0838AE"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(h) informaţiile specificate în anexa III partea 4 formularul 47, cu o frecvenţă anuală, atunci când sunt îndeplinite ambele condiţii prevăzute la litera (g) de la prezentul alineat.</w:t>
            </w:r>
          </w:p>
          <w:p w14:paraId="624C5276"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lastRenderedPageBreak/>
              <w:t>În sensul literei (g) punctul (ii), raportul nu include, nici la numitor, nici la numărător, creditele și avansurile clasificate drept deţinute în vederea vânzării, soldurile de numerar la bănci centrale și alte depozite la vedere.</w:t>
            </w:r>
          </w:p>
          <w:p w14:paraId="7F863128" w14:textId="250476C0" w:rsidR="00263C0E" w:rsidRPr="00BF7956" w:rsidRDefault="00263C0E" w:rsidP="000D4D0F">
            <w:pPr>
              <w:rPr>
                <w:rFonts w:eastAsia="Arial Unicode MS"/>
                <w:bCs/>
                <w:sz w:val="20"/>
                <w:szCs w:val="20"/>
                <w:lang w:val="it-IT"/>
              </w:rPr>
            </w:pPr>
            <w:r w:rsidRPr="00BF7956">
              <w:rPr>
                <w:rFonts w:eastAsia="Arial Unicode MS"/>
                <w:bCs/>
                <w:sz w:val="20"/>
                <w:szCs w:val="20"/>
                <w:lang w:val="it-IT"/>
              </w:rPr>
              <w:t>În sensul prezentului alineat literele (d)-(h), se aplică criteriile de intrare și de ieșire prevăzute la articolul 4 alineatul (3).</w:t>
            </w:r>
          </w:p>
        </w:tc>
        <w:tc>
          <w:tcPr>
            <w:tcW w:w="4536" w:type="dxa"/>
            <w:shd w:val="clear" w:color="auto" w:fill="auto"/>
          </w:tcPr>
          <w:p w14:paraId="5A18B7CD"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01501F73" w14:textId="3F365E48"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79D3286F"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34C32A3B" w14:textId="77777777" w:rsidR="006B4614" w:rsidRPr="00BF7956" w:rsidRDefault="006B4614" w:rsidP="00CC6818">
            <w:pPr>
              <w:jc w:val="both"/>
              <w:rPr>
                <w:sz w:val="20"/>
                <w:szCs w:val="20"/>
                <w:lang w:val="ro-RO"/>
              </w:rPr>
            </w:pPr>
          </w:p>
        </w:tc>
        <w:tc>
          <w:tcPr>
            <w:tcW w:w="992" w:type="dxa"/>
          </w:tcPr>
          <w:p w14:paraId="3E37DAD9" w14:textId="77777777" w:rsidR="006B4614" w:rsidRPr="00BF7956" w:rsidRDefault="006B4614" w:rsidP="00CC6818">
            <w:pPr>
              <w:jc w:val="both"/>
              <w:rPr>
                <w:sz w:val="20"/>
                <w:szCs w:val="20"/>
                <w:lang w:val="ro-RO"/>
              </w:rPr>
            </w:pPr>
          </w:p>
        </w:tc>
      </w:tr>
      <w:tr w:rsidR="006B4614" w:rsidRPr="002C43F1" w14:paraId="140EF89C" w14:textId="77777777" w:rsidTr="00C25F84">
        <w:tc>
          <w:tcPr>
            <w:tcW w:w="4576" w:type="dxa"/>
          </w:tcPr>
          <w:p w14:paraId="65729434" w14:textId="77777777" w:rsidR="006B4614" w:rsidRPr="00BF7956" w:rsidRDefault="006B4614" w:rsidP="000D4D0F">
            <w:pPr>
              <w:pStyle w:val="CM4"/>
              <w:spacing w:before="60" w:after="60"/>
              <w:rPr>
                <w:color w:val="000000"/>
                <w:sz w:val="20"/>
                <w:szCs w:val="20"/>
              </w:rPr>
            </w:pPr>
            <w:r w:rsidRPr="00BF7956">
              <w:rPr>
                <w:i/>
                <w:iCs/>
                <w:color w:val="000000"/>
                <w:sz w:val="20"/>
                <w:szCs w:val="20"/>
              </w:rPr>
              <w:lastRenderedPageBreak/>
              <w:t xml:space="preserve">Articolul 12 </w:t>
            </w:r>
          </w:p>
          <w:p w14:paraId="07A11366" w14:textId="77777777" w:rsidR="006B4614" w:rsidRPr="00BF7956" w:rsidRDefault="006B4614" w:rsidP="000D4D0F">
            <w:pPr>
              <w:rPr>
                <w:b/>
                <w:bCs/>
                <w:color w:val="000000"/>
                <w:sz w:val="20"/>
                <w:szCs w:val="20"/>
                <w:lang w:val="it-IT"/>
              </w:rPr>
            </w:pPr>
            <w:r w:rsidRPr="00BF7956">
              <w:rPr>
                <w:b/>
                <w:bCs/>
                <w:color w:val="000000"/>
                <w:sz w:val="20"/>
                <w:szCs w:val="20"/>
                <w:lang w:val="it-IT"/>
              </w:rPr>
              <w:t>Raportarea informaţiilor financiare pe bază consolidată pentru instituţiile care aplică cadre contabile naţionale</w:t>
            </w:r>
          </w:p>
          <w:p w14:paraId="073B79F2"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(1) În cazul în care o autoritate competentă a extins cerinţele de raportare a informaţiilor financiare pentru a include și instituţiile stabilite într-un stat membru, în conformitate cu articolul 430 alineatul (9) din Regulamentul (UE) nr. 575/2013, instituţiile transmit informaţiile pe bază consolidată specificate în anexa IV la prezentul regulament, în conformitate cu instrucţiunile din anexa V la prezentul regulament.</w:t>
            </w:r>
          </w:p>
          <w:p w14:paraId="0FC1F23D"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(2) Informaţiile menţionate la alineatul (1) se furnizează după cum urmează:</w:t>
            </w:r>
          </w:p>
          <w:p w14:paraId="1E76BFEA"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(a) informaţiile specificate în anexa IV partea 1, cu o frecvenţă trimestrială;</w:t>
            </w:r>
          </w:p>
          <w:p w14:paraId="4CAD3EDC"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(b) informaţiile specificate în anexa IV partea 3, cu o frecvenţă bianuală;</w:t>
            </w:r>
          </w:p>
          <w:p w14:paraId="2D51695F"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(c) informaţiile specificate în anexa IV partea 4, cu excepţia informaţiilor specificate în formularul 47, cu o frecvenţă anuală;</w:t>
            </w:r>
          </w:p>
          <w:p w14:paraId="2744271F"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(d) informaţiile specificate în anexa IV partea 2 formularul 20, cu o frecvenţă trimestrială, în cazul în care instituţia depășește pragul prevăzut la articolul 5 alineatul (5) al doilea paragraf;</w:t>
            </w:r>
          </w:p>
          <w:p w14:paraId="7C9DA048"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 xml:space="preserve">(e) informaţiile specificate în anexa IV partea 2 formularul 21, cu o frecvenţă trimestrială, în cazul în care activele corporale care fac obiectul unor contracte de leasing operaţional sunt mai mari sau egale cu 10 % din totalul activelor corporale, astfel </w:t>
            </w:r>
            <w:r w:rsidRPr="00BF7956">
              <w:rPr>
                <w:rFonts w:eastAsia="Arial Unicode MS"/>
                <w:bCs/>
                <w:sz w:val="20"/>
                <w:szCs w:val="20"/>
                <w:lang w:val="it-IT"/>
              </w:rPr>
              <w:lastRenderedPageBreak/>
              <w:t>cum sunt raportate în conformitate cu anexa IV partea 1 formularul 1.1;</w:t>
            </w:r>
          </w:p>
          <w:p w14:paraId="461AEA0F"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(f) informaţiile specificate în anexa IV partea 2 formularul 22, cu o frecvenţă trimestrială, în cazul în care veniturile nete din onorarii și comisioane sunt mai mari sau egale cu 10 % din suma dintre veniturile nete din onorarii și comisioane și veniturile nete din dobânzi, astfel cum sunt raportate în anexa IV partea 1 formularul 2;</w:t>
            </w:r>
          </w:p>
          <w:p w14:paraId="11921DB0"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(g) informaţiile specificate în anexa IV partea 2 formularele 23-26, cu o frecvenţă trimestrială, în cazul în care sunt îndeplinite ambele condiţii de mai jos:</w:t>
            </w:r>
          </w:p>
          <w:p w14:paraId="2D89B36B"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(i) instituţia nu este o instituţie mică și cu un grad redus de complexitate;</w:t>
            </w:r>
          </w:p>
          <w:p w14:paraId="16B4D87B"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(ii) raportul calculat de instituţie, astfel cum este menţionat la articolul 11 alineatul (2) litera (g) punctul (ii), este mai mare sau egal cu 5 %;</w:t>
            </w:r>
          </w:p>
          <w:p w14:paraId="0C9CF113" w14:textId="36F2B7FA" w:rsidR="00263C0E" w:rsidRPr="00BF7956" w:rsidRDefault="00263C0E" w:rsidP="000D4D0F">
            <w:pPr>
              <w:rPr>
                <w:rFonts w:eastAsia="Arial Unicode MS"/>
                <w:bCs/>
                <w:sz w:val="20"/>
                <w:szCs w:val="20"/>
                <w:lang w:val="it-IT"/>
              </w:rPr>
            </w:pPr>
            <w:r w:rsidRPr="00BF7956">
              <w:rPr>
                <w:rFonts w:eastAsia="Arial Unicode MS"/>
                <w:bCs/>
                <w:sz w:val="20"/>
                <w:szCs w:val="20"/>
                <w:lang w:val="it-IT"/>
              </w:rPr>
              <w:t>(h) informaţiile specificate în anexa IV partea 4 formularul 47, cu o frecvenţă anuală, atunci când sunt îndeplinite ambele condiţii prevăzute la litera (g) de la prezentul alineat.</w:t>
            </w:r>
          </w:p>
          <w:p w14:paraId="54251084" w14:textId="7BD92DAE" w:rsidR="00263C0E" w:rsidRPr="00BF7956" w:rsidRDefault="00263C0E" w:rsidP="000D4D0F">
            <w:pPr>
              <w:rPr>
                <w:rFonts w:eastAsia="Arial Unicode MS"/>
                <w:bCs/>
                <w:sz w:val="20"/>
                <w:szCs w:val="20"/>
                <w:lang w:val="it-IT"/>
              </w:rPr>
            </w:pPr>
            <w:r w:rsidRPr="00BF7956">
              <w:rPr>
                <w:color w:val="000000"/>
                <w:sz w:val="20"/>
                <w:szCs w:val="20"/>
                <w:lang w:val="it-IT"/>
              </w:rPr>
              <w:t>În sensul prezentului alineat literele (d)-(h), se aplică criteriile de intrare și de ieșire prevăzute la articolul 4 alineatul (3).</w:t>
            </w:r>
          </w:p>
        </w:tc>
        <w:tc>
          <w:tcPr>
            <w:tcW w:w="4536" w:type="dxa"/>
            <w:shd w:val="clear" w:color="auto" w:fill="auto"/>
          </w:tcPr>
          <w:p w14:paraId="2CF782E1"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2E64ACEF" w14:textId="23CBCCFF"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674B1354"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46317ACC" w14:textId="77777777" w:rsidR="006B4614" w:rsidRPr="00BF7956" w:rsidRDefault="006B4614" w:rsidP="00CC6818">
            <w:pPr>
              <w:jc w:val="both"/>
              <w:rPr>
                <w:sz w:val="20"/>
                <w:szCs w:val="20"/>
                <w:lang w:val="ro-RO"/>
              </w:rPr>
            </w:pPr>
          </w:p>
        </w:tc>
        <w:tc>
          <w:tcPr>
            <w:tcW w:w="992" w:type="dxa"/>
          </w:tcPr>
          <w:p w14:paraId="7340B28E" w14:textId="77777777" w:rsidR="006B4614" w:rsidRPr="00BF7956" w:rsidRDefault="006B4614" w:rsidP="00CC6818">
            <w:pPr>
              <w:jc w:val="both"/>
              <w:rPr>
                <w:sz w:val="20"/>
                <w:szCs w:val="20"/>
                <w:lang w:val="ro-RO"/>
              </w:rPr>
            </w:pPr>
          </w:p>
        </w:tc>
      </w:tr>
      <w:tr w:rsidR="006B4614" w:rsidRPr="002C43F1" w14:paraId="4927E53E" w14:textId="77777777" w:rsidTr="00C25F84">
        <w:tc>
          <w:tcPr>
            <w:tcW w:w="4576" w:type="dxa"/>
          </w:tcPr>
          <w:p w14:paraId="6BE82C3A" w14:textId="77777777" w:rsidR="006B4614" w:rsidRPr="00BF7956" w:rsidRDefault="006B4614" w:rsidP="000D4D0F">
            <w:pPr>
              <w:pStyle w:val="CM4"/>
              <w:spacing w:before="60" w:after="60"/>
              <w:rPr>
                <w:color w:val="000000"/>
                <w:sz w:val="20"/>
                <w:szCs w:val="20"/>
              </w:rPr>
            </w:pPr>
            <w:r w:rsidRPr="00BF7956">
              <w:rPr>
                <w:i/>
                <w:iCs/>
                <w:color w:val="000000"/>
                <w:sz w:val="20"/>
                <w:szCs w:val="20"/>
              </w:rPr>
              <w:t xml:space="preserve">Articolul 13 </w:t>
            </w:r>
          </w:p>
          <w:p w14:paraId="5045233C" w14:textId="5D68BD08" w:rsidR="006B4614" w:rsidRPr="00BF7956" w:rsidRDefault="006B4614" w:rsidP="000D4D0F">
            <w:pPr>
              <w:rPr>
                <w:b/>
                <w:bCs/>
                <w:color w:val="000000"/>
                <w:sz w:val="20"/>
                <w:szCs w:val="20"/>
                <w:lang w:val="it-IT"/>
              </w:rPr>
            </w:pPr>
            <w:r w:rsidRPr="00BF7956">
              <w:rPr>
                <w:b/>
                <w:bCs/>
                <w:color w:val="000000"/>
                <w:sz w:val="20"/>
                <w:szCs w:val="20"/>
                <w:lang w:val="it-IT"/>
              </w:rPr>
              <w:t xml:space="preserve">Raportarea pierderilor care decurg din credite garantate cu bunuri imobile în conformitate cu articolul 430a alineatul (1) din Regulamentul (UE) nr. 575/2013, pe bază individuală și pe bază </w:t>
            </w:r>
            <w:r w:rsidR="00263C0E" w:rsidRPr="00BF7956">
              <w:rPr>
                <w:b/>
                <w:bCs/>
                <w:color w:val="000000"/>
                <w:sz w:val="20"/>
                <w:szCs w:val="20"/>
                <w:lang w:val="it-IT"/>
              </w:rPr>
              <w:t>consolidate</w:t>
            </w:r>
          </w:p>
          <w:p w14:paraId="3C6F52FD"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(1) Instituţiile transmit informaţiile specificate în anexa VI în conformitate cu instrucţiunile din anexa VII, pe bază consolidată, cu o frecvenţă anuală.</w:t>
            </w:r>
          </w:p>
          <w:p w14:paraId="15CF7F5E"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(2) Instituţiile transmit informaţiile specificate în anexa VI în conformitate cu instrucţiunile din anexa VII, pe bază individuală, cu o frecvenţă anuală.</w:t>
            </w:r>
          </w:p>
          <w:p w14:paraId="52BF8E70" w14:textId="5455E940" w:rsidR="00263C0E" w:rsidRPr="00BF7956" w:rsidRDefault="00263C0E" w:rsidP="000D4D0F">
            <w:pPr>
              <w:rPr>
                <w:rFonts w:eastAsia="Arial Unicode MS"/>
                <w:bCs/>
                <w:sz w:val="20"/>
                <w:szCs w:val="20"/>
                <w:lang w:val="it-IT"/>
              </w:rPr>
            </w:pPr>
            <w:r w:rsidRPr="00BF7956">
              <w:rPr>
                <w:rFonts w:eastAsia="Arial Unicode MS"/>
                <w:bCs/>
                <w:sz w:val="20"/>
                <w:szCs w:val="20"/>
                <w:lang w:val="it-IT"/>
              </w:rPr>
              <w:t xml:space="preserve">(3) În cazul în care o instituţie are o sucursală într-un alt stat membru, sucursala respectivă prezintă </w:t>
            </w:r>
            <w:r w:rsidRPr="00BF7956">
              <w:rPr>
                <w:rFonts w:eastAsia="Arial Unicode MS"/>
                <w:bCs/>
                <w:sz w:val="20"/>
                <w:szCs w:val="20"/>
                <w:lang w:val="it-IT"/>
              </w:rPr>
              <w:lastRenderedPageBreak/>
              <w:t>autorităţii competente a statului membru gazdă informaţiile specificate în anexa VI referitoare la sucursala respectivă în conformitate cu instrucţiunile din anexa VII, cu o frecvenţă anuală.</w:t>
            </w:r>
          </w:p>
        </w:tc>
        <w:tc>
          <w:tcPr>
            <w:tcW w:w="4536" w:type="dxa"/>
            <w:shd w:val="clear" w:color="auto" w:fill="auto"/>
          </w:tcPr>
          <w:p w14:paraId="19C83D40"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31E27C92" w14:textId="03A9AE57"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58D1A8FB"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7E4C8B02" w14:textId="77777777" w:rsidR="006B4614" w:rsidRPr="00BF7956" w:rsidRDefault="006B4614" w:rsidP="00CC6818">
            <w:pPr>
              <w:jc w:val="both"/>
              <w:rPr>
                <w:sz w:val="20"/>
                <w:szCs w:val="20"/>
                <w:lang w:val="ro-RO"/>
              </w:rPr>
            </w:pPr>
          </w:p>
        </w:tc>
        <w:tc>
          <w:tcPr>
            <w:tcW w:w="992" w:type="dxa"/>
          </w:tcPr>
          <w:p w14:paraId="597DC628" w14:textId="77777777" w:rsidR="006B4614" w:rsidRPr="00BF7956" w:rsidRDefault="006B4614" w:rsidP="00CC6818">
            <w:pPr>
              <w:jc w:val="both"/>
              <w:rPr>
                <w:sz w:val="20"/>
                <w:szCs w:val="20"/>
                <w:lang w:val="ro-RO"/>
              </w:rPr>
            </w:pPr>
          </w:p>
        </w:tc>
      </w:tr>
      <w:tr w:rsidR="006B4614" w:rsidRPr="002C43F1" w14:paraId="3BB466FC" w14:textId="77777777" w:rsidTr="00C25F84">
        <w:tc>
          <w:tcPr>
            <w:tcW w:w="4576" w:type="dxa"/>
          </w:tcPr>
          <w:p w14:paraId="40DEED18" w14:textId="77777777" w:rsidR="006B4614" w:rsidRPr="00BF7956" w:rsidRDefault="006B4614" w:rsidP="000D4D0F">
            <w:pPr>
              <w:pStyle w:val="CM4"/>
              <w:spacing w:before="60" w:after="60"/>
              <w:rPr>
                <w:color w:val="000000"/>
                <w:sz w:val="20"/>
                <w:szCs w:val="20"/>
              </w:rPr>
            </w:pPr>
            <w:r w:rsidRPr="00BF7956">
              <w:rPr>
                <w:i/>
                <w:iCs/>
                <w:color w:val="000000"/>
                <w:sz w:val="20"/>
                <w:szCs w:val="20"/>
              </w:rPr>
              <w:t xml:space="preserve">Articolul 14 </w:t>
            </w:r>
          </w:p>
          <w:p w14:paraId="45FCD96B" w14:textId="466901B8" w:rsidR="006B4614" w:rsidRPr="00BF7956" w:rsidRDefault="006B4614" w:rsidP="000D4D0F">
            <w:pPr>
              <w:rPr>
                <w:b/>
                <w:bCs/>
                <w:color w:val="000000"/>
                <w:sz w:val="20"/>
                <w:szCs w:val="20"/>
                <w:lang w:val="it-IT"/>
              </w:rPr>
            </w:pPr>
            <w:r w:rsidRPr="00BF7956">
              <w:rPr>
                <w:b/>
                <w:bCs/>
                <w:color w:val="000000"/>
                <w:sz w:val="20"/>
                <w:szCs w:val="20"/>
                <w:lang w:val="it-IT"/>
              </w:rPr>
              <w:t xml:space="preserve">Raportarea expunerilor mari pe bază individuală și pe bază </w:t>
            </w:r>
            <w:r w:rsidR="00263C0E" w:rsidRPr="00BF7956">
              <w:rPr>
                <w:b/>
                <w:bCs/>
                <w:color w:val="000000"/>
                <w:sz w:val="20"/>
                <w:szCs w:val="20"/>
                <w:lang w:val="it-IT"/>
              </w:rPr>
              <w:t>consolidate</w:t>
            </w:r>
          </w:p>
          <w:p w14:paraId="1751BE45"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(1) Pentru a raporta, pe bază individuală și pe bază consolidată, informaţii cu privire la expunerile mari faţă de clienţi și de grupuri de clienţi aflaţi în legătură, în conformitate cu articolul 394 din Regulamentul (UE) nr. 575/2013, instituţiile transmit informaţiile specificate în anexa VIII în conformitate cu instrucţiunile din anexa IX, cu o frecvenţă trimestrială.</w:t>
            </w:r>
          </w:p>
          <w:p w14:paraId="35FD2CB7"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(2) Pentru a raporta pe bază consolidată informaţiile cu privire la cele mai mari 20 de expuneri faţă de clienţi sau de grupuri de clienţi aflaţi în legătură, în conformitate cu articolul 394 alineatul (1) din Regulamentul (UE) nr. 575/2013, instituţiile care fac obiectul dispoziţiilor părţii a treia titlul II capitolul 3 din Regulamentul (UE) nr. 575/2013 transmit informaţiile specificate în anexa VIII în conformitate cu instrucţiunile din anexa IX, cu o frecvenţă trimestrială.</w:t>
            </w:r>
          </w:p>
          <w:p w14:paraId="4CA9458A" w14:textId="77777777" w:rsidR="00263C0E" w:rsidRPr="00BF7956" w:rsidRDefault="00263C0E" w:rsidP="000D4D0F">
            <w:pPr>
              <w:rPr>
                <w:rFonts w:eastAsia="Arial Unicode MS"/>
                <w:bCs/>
                <w:sz w:val="20"/>
                <w:szCs w:val="20"/>
                <w:lang w:val="it-IT"/>
              </w:rPr>
            </w:pPr>
            <w:r w:rsidRPr="00BF7956">
              <w:rPr>
                <w:rFonts w:eastAsia="Arial Unicode MS"/>
                <w:bCs/>
                <w:sz w:val="20"/>
                <w:szCs w:val="20"/>
                <w:lang w:val="it-IT"/>
              </w:rPr>
              <w:t>(3) Pentru a raporta pe bază consolidată informaţiile cu privire la expunerile cu o valoare mai mare sau egală cu 300 de milioane EUR, dar mai mică de 10 % din fondurile proprii de nivel 1 ale instituţiei, în conformitate cu articolul 394 alineatul (1) din Regulamentul (UE) nr. 575/2013, instituţiile transmit informaţiile specificate în anexa VIII în conformitate cu instrucţiunile din anexa IX, cu o frecvenţă trimestrială.</w:t>
            </w:r>
          </w:p>
          <w:p w14:paraId="258A4A1D" w14:textId="20B30FEC" w:rsidR="00263C0E" w:rsidRPr="00BF7956" w:rsidRDefault="00263C0E" w:rsidP="000D4D0F">
            <w:pPr>
              <w:rPr>
                <w:rFonts w:eastAsia="Arial Unicode MS"/>
                <w:bCs/>
                <w:sz w:val="20"/>
                <w:szCs w:val="20"/>
                <w:lang w:val="it-IT"/>
              </w:rPr>
            </w:pPr>
            <w:r w:rsidRPr="00BF7956">
              <w:rPr>
                <w:rFonts w:eastAsia="Arial Unicode MS"/>
                <w:bCs/>
                <w:sz w:val="20"/>
                <w:szCs w:val="20"/>
                <w:lang w:val="it-IT"/>
              </w:rPr>
              <w:t xml:space="preserve">(4) Pentru a raporta pe bază consolidată informaţiile cu privire la cele mai mari 10 expuneri faţă de instituţii și cele mai mari 10 expuneri faţă de entităţi din sectorul bancar paralel, care desfășoară activităţi bancare în afara cadrului reglementat, în conformitate </w:t>
            </w:r>
            <w:r w:rsidRPr="00BF7956">
              <w:rPr>
                <w:rFonts w:eastAsia="Arial Unicode MS"/>
                <w:bCs/>
                <w:sz w:val="20"/>
                <w:szCs w:val="20"/>
                <w:lang w:val="it-IT"/>
              </w:rPr>
              <w:lastRenderedPageBreak/>
              <w:t xml:space="preserve">cu articolul 394 alineatul (2) din Regulamentul (UE) nr. 575/2013, instituţiile transmit informaţiile specificate în anexa VIII în conformitate cu instrucţiunile din anexa IX, cu o frecvenţă trimestrială. </w:t>
            </w:r>
          </w:p>
        </w:tc>
        <w:tc>
          <w:tcPr>
            <w:tcW w:w="4536" w:type="dxa"/>
            <w:shd w:val="clear" w:color="auto" w:fill="auto"/>
          </w:tcPr>
          <w:p w14:paraId="4549FF78"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42DA7CA1" w14:textId="1F91F854"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52EC04C1"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437F38E7" w14:textId="77777777" w:rsidR="006B4614" w:rsidRPr="00BF7956" w:rsidRDefault="006B4614" w:rsidP="00CC6818">
            <w:pPr>
              <w:jc w:val="both"/>
              <w:rPr>
                <w:sz w:val="20"/>
                <w:szCs w:val="20"/>
                <w:lang w:val="ro-RO"/>
              </w:rPr>
            </w:pPr>
          </w:p>
        </w:tc>
        <w:tc>
          <w:tcPr>
            <w:tcW w:w="992" w:type="dxa"/>
          </w:tcPr>
          <w:p w14:paraId="02B6D921" w14:textId="77777777" w:rsidR="006B4614" w:rsidRPr="00BF7956" w:rsidRDefault="006B4614" w:rsidP="00CC6818">
            <w:pPr>
              <w:jc w:val="both"/>
              <w:rPr>
                <w:sz w:val="20"/>
                <w:szCs w:val="20"/>
                <w:lang w:val="ro-RO"/>
              </w:rPr>
            </w:pPr>
          </w:p>
        </w:tc>
      </w:tr>
      <w:tr w:rsidR="006B4614" w:rsidRPr="002C43F1" w14:paraId="29AD93A1" w14:textId="77777777" w:rsidTr="00C25F84">
        <w:tc>
          <w:tcPr>
            <w:tcW w:w="4576" w:type="dxa"/>
          </w:tcPr>
          <w:p w14:paraId="79492F42"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15 </w:t>
            </w:r>
          </w:p>
          <w:p w14:paraId="39AFE81B" w14:textId="43A471A2" w:rsidR="00263C0E" w:rsidRPr="00BF7956" w:rsidRDefault="006B4614" w:rsidP="00263C0E">
            <w:pPr>
              <w:jc w:val="both"/>
              <w:rPr>
                <w:b/>
                <w:bCs/>
                <w:color w:val="000000"/>
                <w:sz w:val="20"/>
                <w:szCs w:val="20"/>
                <w:lang w:val="it-IT"/>
              </w:rPr>
            </w:pPr>
            <w:r w:rsidRPr="00BF7956">
              <w:rPr>
                <w:b/>
                <w:bCs/>
                <w:color w:val="000000"/>
                <w:sz w:val="20"/>
                <w:szCs w:val="20"/>
                <w:lang w:val="it-IT"/>
              </w:rPr>
              <w:t xml:space="preserve">Raportarea indicatorului efectului de levier pe bază individuală și pe bază </w:t>
            </w:r>
            <w:r w:rsidR="00263C0E" w:rsidRPr="00BF7956">
              <w:rPr>
                <w:b/>
                <w:bCs/>
                <w:color w:val="000000"/>
                <w:sz w:val="20"/>
                <w:szCs w:val="20"/>
                <w:lang w:val="it-IT"/>
              </w:rPr>
              <w:t>consolidate</w:t>
            </w:r>
          </w:p>
          <w:p w14:paraId="2C68148C"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(1) Pentru a raporta, pe bază individuală și pe bază consolidată, informaţiile cu privire la indicatorul efectului de levier, în conformitate cu articolul 430 alineatul (1) litera (a) din Regulamentul (UE) nr. 575/2013, instituţiile transmit informaţiile specificate în anexa X în conformitate cu instrucţiunile din anexa XI, cu o frecvenţă trimestrială. Numai instituţiile mari transmit formularul 48.00 din anexa X. </w:t>
            </w:r>
          </w:p>
          <w:p w14:paraId="2FE9164D"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(2) Informaţiile specificate în anexa X formularul 40.00 celula {r0410;c0010} se raportează numai de către: </w:t>
            </w:r>
          </w:p>
          <w:p w14:paraId="1C0960D7"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instituţiile mari care fie sunt G-SII, fie au emis titluri de valoare admise la tranzacţionare pe o piaţă reglementată, cu o frecvenţă bianuală; </w:t>
            </w:r>
          </w:p>
          <w:p w14:paraId="2ED4DBEB"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(b) instituţiile mari, altele decât G-SII, care sunt instituţii necotate, cu o frecvenţă anuală; </w:t>
            </w:r>
          </w:p>
          <w:p w14:paraId="3705889C"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(c) alte instituţii decât instituţiile mari și instituţiile mici și cu un grad redus de complexitate, care au emis titluri de valoare admise la tranzacţionare pe o piaţă reglementată, cu o frecvenţă anuală. </w:t>
            </w:r>
          </w:p>
          <w:p w14:paraId="6A569206"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(3) Instituţiile calculează indicatorul efectului de levier la data de referinţă a raportării, în conformitate cu articolul 429 din Regulamentul (UE) nr. 575/2013. </w:t>
            </w:r>
          </w:p>
          <w:p w14:paraId="162CE9B7"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(4) Instituţiile raportează informaţiile menţionate în anexa XI partea II punctul 13 în cazul în care este îndeplinită cel puţin una dintre următoarele condiţii: </w:t>
            </w:r>
          </w:p>
          <w:p w14:paraId="540EDCC8"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cota instrumentelor financiare derivate menţionată în anexa XI partea II punctul 5 este mai mare de 1,5 %; </w:t>
            </w:r>
          </w:p>
          <w:p w14:paraId="5938D38D" w14:textId="77777777" w:rsidR="00263C0E" w:rsidRPr="00BF7956" w:rsidRDefault="00263C0E" w:rsidP="00263C0E">
            <w:pPr>
              <w:pStyle w:val="CM4"/>
              <w:spacing w:before="60" w:after="60"/>
              <w:rPr>
                <w:color w:val="000000"/>
                <w:sz w:val="20"/>
                <w:szCs w:val="20"/>
              </w:rPr>
            </w:pPr>
            <w:r w:rsidRPr="00BF7956">
              <w:rPr>
                <w:color w:val="000000"/>
                <w:sz w:val="20"/>
                <w:szCs w:val="20"/>
              </w:rPr>
              <w:lastRenderedPageBreak/>
              <w:t xml:space="preserve">(b) cota instrumentelor financiare derivate menţionată în anexa XI partea II punctul 5 este mai mare de 2 %. </w:t>
            </w:r>
          </w:p>
          <w:p w14:paraId="74189B77"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În cazul în care o instituţie îndeplinește numai condiţia de la litera (a), se aplică criteriile de intrare și de ieșire prevăzute la articolul 4 alineatul (3). </w:t>
            </w:r>
          </w:p>
          <w:p w14:paraId="6F111CDD"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În cazul în care o instituţie îndeplinește atât condiţia de la litera (a), cât și condiţia de la litera (b), aceasta începe să raporteze informaţiile respective pentru data de referinţă a raportării ulterioară datei de referinţă în care a depășit pragul. </w:t>
            </w:r>
          </w:p>
          <w:p w14:paraId="7E8D3534"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(5) Instituţiile pentru care valoarea noţională totală a instrumentelor financiare derivate, astfel cum este definită în anexa XI partea II punctul 8, depășește 10 000 de milioane EUR raportează informaţiile menţionate în anexa XI partea II punctul 13, chiar dacă cota lor de instrumente financiare derivate nu îndeplinește condiţiile stabilite la alineatul (4) din prezentul articol. </w:t>
            </w:r>
          </w:p>
          <w:p w14:paraId="63421BED" w14:textId="77777777" w:rsidR="00263C0E" w:rsidRPr="00BF7956" w:rsidRDefault="00263C0E" w:rsidP="00263C0E">
            <w:pPr>
              <w:jc w:val="both"/>
              <w:rPr>
                <w:b/>
                <w:bCs/>
                <w:color w:val="000000"/>
                <w:sz w:val="20"/>
                <w:szCs w:val="20"/>
                <w:lang w:val="it-IT"/>
              </w:rPr>
            </w:pPr>
            <w:r w:rsidRPr="00BF7956">
              <w:rPr>
                <w:color w:val="000000"/>
                <w:sz w:val="20"/>
                <w:szCs w:val="20"/>
                <w:lang w:val="it-IT"/>
              </w:rPr>
              <w:t xml:space="preserve">În sensul prezentului alineat, criteriile de ieșire prevăzute la articolul 4 alineatul (3) nu se aplică. Atunci când depășesc pragul la o dată de referinţă a raportării, instituţiile încep să raporteze informaţiile de la următoarea dată de referinţă a raportării. </w:t>
            </w:r>
          </w:p>
          <w:p w14:paraId="0CDCB1CB"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(6) Instituţiile au obligaţia de a raporta informaţiile menţionate în anexa XI partea II punctul 14 în cazul în care este îndeplinită cel puţin una dintre următoarele condiţii: </w:t>
            </w:r>
          </w:p>
          <w:p w14:paraId="099D60B0"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volumul instrumentelor financiare derivate de credit menţionat în anexa XI partea II punctul 9 este mai mare de 300 de milioane EUR; </w:t>
            </w:r>
          </w:p>
          <w:p w14:paraId="7592EC4B"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(b) volumul instrumentelor financiare derivate de credit menţionat în anexa XI partea II punctul 9 este mai mare de 500 de milioane EUR. </w:t>
            </w:r>
          </w:p>
          <w:p w14:paraId="2530A5BF" w14:textId="207FE778" w:rsidR="00263C0E" w:rsidRPr="00BF7956" w:rsidRDefault="00263C0E" w:rsidP="00263C0E">
            <w:pPr>
              <w:jc w:val="both"/>
              <w:rPr>
                <w:rFonts w:eastAsia="Arial Unicode MS"/>
                <w:bCs/>
                <w:sz w:val="20"/>
                <w:szCs w:val="20"/>
                <w:lang w:val="it-IT"/>
              </w:rPr>
            </w:pPr>
            <w:r w:rsidRPr="00BF7956">
              <w:rPr>
                <w:color w:val="000000"/>
                <w:sz w:val="20"/>
                <w:szCs w:val="20"/>
                <w:lang w:val="it-IT"/>
              </w:rPr>
              <w:t xml:space="preserve">În cazul în care o instituţie îndeplinește numai condiţia de la litera (a), se aplică criteriile de intrare și de ieșire prevăzute la articolul 4 alineatul (3). În cazul în care o instituţie îndeplinește atât condiţia de la litera (a), cât </w:t>
            </w:r>
            <w:r w:rsidRPr="00BF7956">
              <w:rPr>
                <w:color w:val="000000"/>
                <w:sz w:val="20"/>
                <w:szCs w:val="20"/>
                <w:lang w:val="it-IT"/>
              </w:rPr>
              <w:lastRenderedPageBreak/>
              <w:t>și condiţia de la litera (b), aceasta începe să raporteze informaţiile respective pentru data de referinţă a raportării ulterioară datei de referinţă în care a depășit pragul.</w:t>
            </w:r>
          </w:p>
        </w:tc>
        <w:tc>
          <w:tcPr>
            <w:tcW w:w="4536" w:type="dxa"/>
            <w:shd w:val="clear" w:color="auto" w:fill="auto"/>
          </w:tcPr>
          <w:p w14:paraId="56536188"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57D193BE" w14:textId="3DF07540" w:rsidR="006B4614" w:rsidRPr="00BF7956" w:rsidRDefault="000D4D0F" w:rsidP="000D4D0F">
            <w:pPr>
              <w:rPr>
                <w:b/>
                <w:strike/>
                <w:sz w:val="20"/>
                <w:szCs w:val="20"/>
                <w:lang w:val="ro-RO"/>
              </w:rPr>
            </w:pPr>
            <w:r w:rsidRPr="00BF7956">
              <w:rPr>
                <w:sz w:val="20"/>
                <w:szCs w:val="20"/>
                <w:lang w:val="ro-RO"/>
              </w:rPr>
              <w:t>Nu se transpune în prezentul proiect</w:t>
            </w:r>
          </w:p>
        </w:tc>
        <w:tc>
          <w:tcPr>
            <w:tcW w:w="2223" w:type="dxa"/>
          </w:tcPr>
          <w:p w14:paraId="1E1DCB19"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78054735" w14:textId="77777777" w:rsidR="006B4614" w:rsidRPr="00BF7956" w:rsidRDefault="006B4614" w:rsidP="00CC6818">
            <w:pPr>
              <w:jc w:val="both"/>
              <w:rPr>
                <w:sz w:val="20"/>
                <w:szCs w:val="20"/>
                <w:lang w:val="ro-RO"/>
              </w:rPr>
            </w:pPr>
          </w:p>
        </w:tc>
        <w:tc>
          <w:tcPr>
            <w:tcW w:w="992" w:type="dxa"/>
          </w:tcPr>
          <w:p w14:paraId="7D89C73E" w14:textId="77777777" w:rsidR="006B4614" w:rsidRPr="00BF7956" w:rsidRDefault="006B4614" w:rsidP="00CC6818">
            <w:pPr>
              <w:jc w:val="both"/>
              <w:rPr>
                <w:sz w:val="20"/>
                <w:szCs w:val="20"/>
                <w:lang w:val="ro-RO"/>
              </w:rPr>
            </w:pPr>
          </w:p>
        </w:tc>
      </w:tr>
      <w:tr w:rsidR="006B4614" w:rsidRPr="002C43F1" w14:paraId="56ED777F" w14:textId="77777777" w:rsidTr="00C25F84">
        <w:tc>
          <w:tcPr>
            <w:tcW w:w="4576" w:type="dxa"/>
          </w:tcPr>
          <w:p w14:paraId="7B891F2C" w14:textId="77777777" w:rsidR="006B4614" w:rsidRPr="00BF7956" w:rsidRDefault="006B4614" w:rsidP="006B4614">
            <w:pPr>
              <w:pStyle w:val="CM4"/>
              <w:spacing w:before="60" w:after="60"/>
              <w:rPr>
                <w:color w:val="000000"/>
                <w:sz w:val="20"/>
                <w:szCs w:val="20"/>
              </w:rPr>
            </w:pPr>
            <w:r w:rsidRPr="00BF7956">
              <w:rPr>
                <w:i/>
                <w:iCs/>
                <w:color w:val="000000"/>
                <w:sz w:val="20"/>
                <w:szCs w:val="20"/>
              </w:rPr>
              <w:lastRenderedPageBreak/>
              <w:t xml:space="preserve">Articolul 16 </w:t>
            </w:r>
          </w:p>
          <w:p w14:paraId="5EC59679" w14:textId="33BF833A" w:rsidR="00263C0E" w:rsidRPr="00BF7956" w:rsidRDefault="006B4614" w:rsidP="006C4713">
            <w:pPr>
              <w:rPr>
                <w:b/>
                <w:bCs/>
                <w:color w:val="000000"/>
                <w:sz w:val="20"/>
                <w:szCs w:val="20"/>
                <w:lang w:val="it-IT"/>
              </w:rPr>
            </w:pPr>
            <w:r w:rsidRPr="00BF7956">
              <w:rPr>
                <w:b/>
                <w:bCs/>
                <w:color w:val="000000"/>
                <w:sz w:val="20"/>
                <w:szCs w:val="20"/>
                <w:lang w:val="it-IT"/>
              </w:rPr>
              <w:t xml:space="preserve">Raportarea cerinţei de acoperire a necesarului de lichiditate pe bază individuală și pe bază </w:t>
            </w:r>
            <w:r w:rsidR="00263C0E" w:rsidRPr="00BF7956">
              <w:rPr>
                <w:b/>
                <w:bCs/>
                <w:color w:val="000000"/>
                <w:sz w:val="20"/>
                <w:szCs w:val="20"/>
                <w:lang w:val="it-IT"/>
              </w:rPr>
              <w:t>consolidate</w:t>
            </w:r>
          </w:p>
          <w:p w14:paraId="5D2A91EC"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(1) Pentru a raporta, pe bază individuală și pe bază consolidată, informaţiile cu privire la cerinţa de acoperire a necesarului de lichiditate, în conformitate cu articolul 430 alineatul (1) litera (d) din Regulamentul (UE) nr. 575/2013, instituţiile transmit informaţiile specificate în anexa XXIV la prezentul regulament în conformitate cu instrucţiunile din anexa XXV la prezentul regulament, cu o frecvenţă lunară. </w:t>
            </w:r>
          </w:p>
          <w:p w14:paraId="7EEBDA35" w14:textId="452CEF23" w:rsidR="00263C0E" w:rsidRPr="00BF7956" w:rsidRDefault="00263C0E" w:rsidP="006C4713">
            <w:pPr>
              <w:rPr>
                <w:rFonts w:eastAsia="Arial Unicode MS"/>
                <w:bCs/>
                <w:sz w:val="20"/>
                <w:szCs w:val="20"/>
                <w:lang w:val="it-IT"/>
              </w:rPr>
            </w:pPr>
            <w:r w:rsidRPr="00BF7956">
              <w:rPr>
                <w:color w:val="000000"/>
                <w:sz w:val="20"/>
                <w:szCs w:val="20"/>
                <w:lang w:val="it-IT"/>
              </w:rPr>
              <w:t>(2) Informaţiile prevăzute în anexa XXIV iau în considerare informaţiile transmise la data de referinţă și informaţiile privind fluxurile de numerar ale instituţiei pentru următoarele 30 de zile calendaristice.</w:t>
            </w:r>
          </w:p>
        </w:tc>
        <w:tc>
          <w:tcPr>
            <w:tcW w:w="4536" w:type="dxa"/>
            <w:shd w:val="clear" w:color="auto" w:fill="auto"/>
          </w:tcPr>
          <w:p w14:paraId="391F0D34"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774A57BB" w14:textId="3C3B2FEB"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7A14AAF3"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05EF1C99" w14:textId="77777777" w:rsidR="006B4614" w:rsidRPr="00BF7956" w:rsidRDefault="006B4614" w:rsidP="00CC6818">
            <w:pPr>
              <w:jc w:val="both"/>
              <w:rPr>
                <w:sz w:val="20"/>
                <w:szCs w:val="20"/>
                <w:lang w:val="ro-RO"/>
              </w:rPr>
            </w:pPr>
          </w:p>
        </w:tc>
        <w:tc>
          <w:tcPr>
            <w:tcW w:w="992" w:type="dxa"/>
          </w:tcPr>
          <w:p w14:paraId="4128D7D9" w14:textId="77777777" w:rsidR="006B4614" w:rsidRPr="00BF7956" w:rsidRDefault="006B4614" w:rsidP="00CC6818">
            <w:pPr>
              <w:jc w:val="both"/>
              <w:rPr>
                <w:sz w:val="20"/>
                <w:szCs w:val="20"/>
                <w:lang w:val="ro-RO"/>
              </w:rPr>
            </w:pPr>
          </w:p>
        </w:tc>
      </w:tr>
      <w:tr w:rsidR="006B4614" w:rsidRPr="002C43F1" w14:paraId="0521495D" w14:textId="77777777" w:rsidTr="00C25F84">
        <w:tc>
          <w:tcPr>
            <w:tcW w:w="4576" w:type="dxa"/>
          </w:tcPr>
          <w:p w14:paraId="2BB2B0E5"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17 </w:t>
            </w:r>
          </w:p>
          <w:p w14:paraId="01391364" w14:textId="3459D4C8" w:rsidR="006B4614" w:rsidRPr="00BF7956" w:rsidRDefault="006B4614" w:rsidP="006B4614">
            <w:pPr>
              <w:jc w:val="both"/>
              <w:rPr>
                <w:b/>
                <w:bCs/>
                <w:color w:val="000000"/>
                <w:sz w:val="20"/>
                <w:szCs w:val="20"/>
                <w:lang w:val="it-IT"/>
              </w:rPr>
            </w:pPr>
            <w:r w:rsidRPr="00BF7956">
              <w:rPr>
                <w:b/>
                <w:bCs/>
                <w:color w:val="000000"/>
                <w:sz w:val="20"/>
                <w:szCs w:val="20"/>
                <w:lang w:val="it-IT"/>
              </w:rPr>
              <w:t xml:space="preserve">Raportarea finanţării stabile pe bază individuală și pe bază </w:t>
            </w:r>
            <w:r w:rsidR="00263C0E" w:rsidRPr="00BF7956">
              <w:rPr>
                <w:b/>
                <w:bCs/>
                <w:color w:val="000000"/>
                <w:sz w:val="20"/>
                <w:szCs w:val="20"/>
                <w:lang w:val="it-IT"/>
              </w:rPr>
              <w:t>consolidate</w:t>
            </w:r>
          </w:p>
          <w:p w14:paraId="6D0799C2"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Pentru a raporta, pe bază individuală și pe bază consolidată, informaţiile cu privire la finanţarea stabilă, în conformitate cu articolul 430 alineatul (1) litera (d) din Regulamentul (UE) nr. 575/2013, instituţiile transmit informaţiile specificate în anexa XII în conformitate cu instrucţiunile din anexa XIII, cu o frecvenţă trimestrială, după cum urmează: </w:t>
            </w:r>
          </w:p>
          <w:p w14:paraId="57A2AB80"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(a) instituţiile mici și cu un grad redus de complexitate care au ales să își calculeze indicatorul de finanţare stabilă netă (NSFR) utilizând metodologia prevăzută în partea a șasea titlul IV capitolele 6 și 7 din Regulamentul (UE) nr. 575/2013, cu aprobarea prealabilă a autorităţii lor competente în conformitate cu articolul 428ai din regulamentul </w:t>
            </w:r>
            <w:r w:rsidRPr="00BF7956">
              <w:rPr>
                <w:color w:val="000000"/>
                <w:sz w:val="20"/>
                <w:szCs w:val="20"/>
              </w:rPr>
              <w:lastRenderedPageBreak/>
              <w:t xml:space="preserve">respectiv, transmit formularele 82 și 83 din anexa XII la prezentul regulament în conformitate cu instrucţiunile din anexa XIII la prezentul regulament; </w:t>
            </w:r>
          </w:p>
          <w:p w14:paraId="169A2971" w14:textId="77777777" w:rsidR="00263C0E" w:rsidRPr="00BF7956" w:rsidRDefault="00263C0E" w:rsidP="00263C0E">
            <w:pPr>
              <w:pStyle w:val="CM4"/>
              <w:spacing w:before="60" w:after="60"/>
              <w:rPr>
                <w:color w:val="000000"/>
                <w:sz w:val="20"/>
                <w:szCs w:val="20"/>
              </w:rPr>
            </w:pPr>
            <w:r w:rsidRPr="00BF7956">
              <w:rPr>
                <w:color w:val="000000"/>
                <w:sz w:val="20"/>
                <w:szCs w:val="20"/>
              </w:rPr>
              <w:t xml:space="preserve">(b) instituţiile, altele decât cele menţionate la litera (a), transmit formularele 80 și 81 din anexa XII în conformitate cu instrucţiunile din anexa XIII; </w:t>
            </w:r>
          </w:p>
          <w:p w14:paraId="63749D44" w14:textId="1106A802" w:rsidR="00263C0E" w:rsidRPr="00BF7956" w:rsidRDefault="00263C0E" w:rsidP="00263C0E">
            <w:pPr>
              <w:jc w:val="both"/>
              <w:rPr>
                <w:rFonts w:eastAsia="Arial Unicode MS"/>
                <w:bCs/>
                <w:sz w:val="20"/>
                <w:szCs w:val="20"/>
                <w:lang w:val="it-IT"/>
              </w:rPr>
            </w:pPr>
            <w:r w:rsidRPr="00BF7956">
              <w:rPr>
                <w:color w:val="000000"/>
                <w:sz w:val="20"/>
                <w:szCs w:val="20"/>
                <w:lang w:val="it-IT"/>
              </w:rPr>
              <w:t xml:space="preserve">(c) toate instituţiile prezintă formularul 84 din anexa XII în conformitate cu instrucţiunile din anexa XIII. </w:t>
            </w:r>
          </w:p>
          <w:p w14:paraId="45A8B596" w14:textId="257102E7" w:rsidR="006B4614" w:rsidRPr="00BF7956" w:rsidRDefault="006B4614" w:rsidP="006B4614">
            <w:pPr>
              <w:jc w:val="both"/>
              <w:rPr>
                <w:rFonts w:eastAsia="Arial Unicode MS"/>
                <w:bCs/>
                <w:sz w:val="20"/>
                <w:szCs w:val="20"/>
                <w:lang w:val="it-IT"/>
              </w:rPr>
            </w:pPr>
          </w:p>
        </w:tc>
        <w:tc>
          <w:tcPr>
            <w:tcW w:w="4536" w:type="dxa"/>
            <w:shd w:val="clear" w:color="auto" w:fill="auto"/>
          </w:tcPr>
          <w:p w14:paraId="744B19E6"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002D87AB" w14:textId="45AA0F61"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6DBA4904"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1E900A81" w14:textId="77777777" w:rsidR="006B4614" w:rsidRPr="00BF7956" w:rsidRDefault="006B4614" w:rsidP="00CC6818">
            <w:pPr>
              <w:jc w:val="both"/>
              <w:rPr>
                <w:sz w:val="20"/>
                <w:szCs w:val="20"/>
                <w:lang w:val="ro-RO"/>
              </w:rPr>
            </w:pPr>
          </w:p>
        </w:tc>
        <w:tc>
          <w:tcPr>
            <w:tcW w:w="992" w:type="dxa"/>
          </w:tcPr>
          <w:p w14:paraId="16EFB5E1" w14:textId="77777777" w:rsidR="006B4614" w:rsidRPr="00BF7956" w:rsidRDefault="006B4614" w:rsidP="00CC6818">
            <w:pPr>
              <w:jc w:val="both"/>
              <w:rPr>
                <w:sz w:val="20"/>
                <w:szCs w:val="20"/>
                <w:lang w:val="ro-RO"/>
              </w:rPr>
            </w:pPr>
          </w:p>
        </w:tc>
      </w:tr>
      <w:tr w:rsidR="006B4614" w:rsidRPr="00BF7956" w14:paraId="2288918B" w14:textId="77777777" w:rsidTr="00C25F84">
        <w:tc>
          <w:tcPr>
            <w:tcW w:w="4576" w:type="dxa"/>
          </w:tcPr>
          <w:p w14:paraId="70660071" w14:textId="77777777" w:rsidR="006B4614" w:rsidRPr="00BF7956" w:rsidRDefault="006B4614" w:rsidP="006C4713">
            <w:pPr>
              <w:pStyle w:val="CM4"/>
              <w:spacing w:before="60" w:after="60"/>
              <w:rPr>
                <w:color w:val="000000"/>
                <w:sz w:val="20"/>
                <w:szCs w:val="20"/>
              </w:rPr>
            </w:pPr>
            <w:r w:rsidRPr="00BF7956">
              <w:rPr>
                <w:i/>
                <w:iCs/>
                <w:color w:val="000000"/>
                <w:sz w:val="20"/>
                <w:szCs w:val="20"/>
              </w:rPr>
              <w:t xml:space="preserve">Articolul 18 </w:t>
            </w:r>
          </w:p>
          <w:p w14:paraId="00681E07" w14:textId="0B4F610C" w:rsidR="006B4614" w:rsidRPr="00BF7956" w:rsidRDefault="006B4614" w:rsidP="006C4713">
            <w:pPr>
              <w:rPr>
                <w:b/>
                <w:bCs/>
                <w:color w:val="000000"/>
                <w:sz w:val="20"/>
                <w:szCs w:val="20"/>
                <w:lang w:val="it-IT"/>
              </w:rPr>
            </w:pPr>
            <w:r w:rsidRPr="00BF7956">
              <w:rPr>
                <w:b/>
                <w:bCs/>
                <w:color w:val="000000"/>
                <w:sz w:val="20"/>
                <w:szCs w:val="20"/>
                <w:lang w:val="it-IT"/>
              </w:rPr>
              <w:t xml:space="preserve">Raportarea indicatorilor suplimentari de monitorizare a lichidităţii pe bază individuală și pe bază </w:t>
            </w:r>
            <w:r w:rsidR="00263C0E" w:rsidRPr="00BF7956">
              <w:rPr>
                <w:b/>
                <w:bCs/>
                <w:color w:val="000000"/>
                <w:sz w:val="20"/>
                <w:szCs w:val="20"/>
                <w:lang w:val="it-IT"/>
              </w:rPr>
              <w:t>consolidate</w:t>
            </w:r>
          </w:p>
          <w:p w14:paraId="5C9DE26B" w14:textId="77777777" w:rsidR="00263C0E" w:rsidRPr="00BF7956" w:rsidRDefault="00263C0E" w:rsidP="006C4713">
            <w:pPr>
              <w:rPr>
                <w:rFonts w:eastAsia="Arial Unicode MS"/>
                <w:bCs/>
                <w:sz w:val="20"/>
                <w:szCs w:val="20"/>
                <w:lang w:val="it-IT"/>
              </w:rPr>
            </w:pPr>
            <w:r w:rsidRPr="00BF7956">
              <w:rPr>
                <w:rFonts w:eastAsia="Arial Unicode MS"/>
                <w:bCs/>
                <w:sz w:val="20"/>
                <w:szCs w:val="20"/>
                <w:lang w:val="it-IT"/>
              </w:rPr>
              <w:t>(1) Pentru a raporta, pe bază individuală și pe bază consolidată, informaţiile privind indicatorii suplimentari de monitorizare a lichidităţii în conformitate cu articolul 430 alineatul (1) litera (d) din Regulamentul (UE) nr. 575/2013, instituţiile transmit toate informaţiile următoare, cu o frecvenţă lunară:</w:t>
            </w:r>
          </w:p>
          <w:p w14:paraId="30040BFF" w14:textId="77777777" w:rsidR="00263C0E" w:rsidRPr="00BF7956" w:rsidRDefault="00263C0E" w:rsidP="006C4713">
            <w:pPr>
              <w:rPr>
                <w:rFonts w:eastAsia="Arial Unicode MS"/>
                <w:bCs/>
                <w:sz w:val="20"/>
                <w:szCs w:val="20"/>
                <w:lang w:val="it-IT"/>
              </w:rPr>
            </w:pPr>
            <w:r w:rsidRPr="00BF7956">
              <w:rPr>
                <w:rFonts w:eastAsia="Arial Unicode MS"/>
                <w:bCs/>
                <w:sz w:val="20"/>
                <w:szCs w:val="20"/>
                <w:lang w:val="it-IT"/>
              </w:rPr>
              <w:t>(a) informaţiile specificate în anexa XVIII, în conformitate cu instrucţiunile din anexa XIX;</w:t>
            </w:r>
          </w:p>
          <w:p w14:paraId="264D0969" w14:textId="77777777" w:rsidR="00263C0E" w:rsidRPr="00BF7956" w:rsidRDefault="00263C0E" w:rsidP="006C4713">
            <w:pPr>
              <w:rPr>
                <w:rFonts w:eastAsia="Arial Unicode MS"/>
                <w:bCs/>
                <w:sz w:val="20"/>
                <w:szCs w:val="20"/>
                <w:lang w:val="it-IT"/>
              </w:rPr>
            </w:pPr>
            <w:r w:rsidRPr="00BF7956">
              <w:rPr>
                <w:rFonts w:eastAsia="Arial Unicode MS"/>
                <w:bCs/>
                <w:sz w:val="20"/>
                <w:szCs w:val="20"/>
                <w:lang w:val="it-IT"/>
              </w:rPr>
              <w:t>(b) informaţiile specificate în anexa XX, în conformitate cu instrucţiunile din anexa XXI;</w:t>
            </w:r>
          </w:p>
          <w:p w14:paraId="746EB777" w14:textId="77777777" w:rsidR="00263C0E" w:rsidRPr="00BF7956" w:rsidRDefault="00263C0E" w:rsidP="006C4713">
            <w:pPr>
              <w:rPr>
                <w:rFonts w:eastAsia="Arial Unicode MS"/>
                <w:bCs/>
                <w:sz w:val="20"/>
                <w:szCs w:val="20"/>
                <w:lang w:val="it-IT"/>
              </w:rPr>
            </w:pPr>
            <w:r w:rsidRPr="00BF7956">
              <w:rPr>
                <w:rFonts w:eastAsia="Arial Unicode MS"/>
                <w:bCs/>
                <w:sz w:val="20"/>
                <w:szCs w:val="20"/>
                <w:lang w:val="it-IT"/>
              </w:rPr>
              <w:t>(c) informaţiile specificate în anexa XXII, în conformitate cu instrucţiunile din anexa XXIII.</w:t>
            </w:r>
          </w:p>
          <w:p w14:paraId="7E6AF3BA" w14:textId="56814485" w:rsidR="00263C0E" w:rsidRPr="00BF7956" w:rsidRDefault="00263C0E" w:rsidP="006C4713">
            <w:pPr>
              <w:rPr>
                <w:rFonts w:eastAsia="Arial Unicode MS"/>
                <w:bCs/>
                <w:sz w:val="20"/>
                <w:szCs w:val="20"/>
                <w:lang w:val="it-IT"/>
              </w:rPr>
            </w:pPr>
            <w:r w:rsidRPr="00BF7956">
              <w:rPr>
                <w:rFonts w:eastAsia="Arial Unicode MS"/>
                <w:bCs/>
                <w:sz w:val="20"/>
                <w:szCs w:val="20"/>
                <w:lang w:val="it-IT"/>
              </w:rPr>
              <w:t>(2) Prin derogare de la alineatul (1), o instituţie care îndeplinește toate condiţiile prevăzute la articolul 4 alineatul (1) punctul 145 din Regulamentul (UE) nr. 575/2013 poate raporta informaţiile privind indicatorii suplimentari de monitorizare a lichidităţii cu o frecvenţă trimestrială.</w:t>
            </w:r>
          </w:p>
        </w:tc>
        <w:tc>
          <w:tcPr>
            <w:tcW w:w="4536" w:type="dxa"/>
            <w:shd w:val="clear" w:color="auto" w:fill="auto"/>
          </w:tcPr>
          <w:p w14:paraId="42EE9A83" w14:textId="77777777" w:rsidR="006C4713" w:rsidRPr="00BF7956" w:rsidRDefault="006C4713" w:rsidP="006C4713">
            <w:pPr>
              <w:tabs>
                <w:tab w:val="left" w:pos="720"/>
              </w:tabs>
              <w:spacing w:after="160" w:line="259" w:lineRule="auto"/>
              <w:contextualSpacing/>
              <w:jc w:val="center"/>
              <w:rPr>
                <w:rFonts w:eastAsia="Calibri"/>
                <w:b/>
                <w:i/>
                <w:sz w:val="20"/>
                <w:szCs w:val="20"/>
                <w:lang w:val="it-IT" w:eastAsia="en-US"/>
              </w:rPr>
            </w:pPr>
            <w:r w:rsidRPr="00BF7956">
              <w:rPr>
                <w:rFonts w:eastAsia="Calibri"/>
                <w:b/>
                <w:i/>
                <w:sz w:val="20"/>
                <w:szCs w:val="20"/>
                <w:lang w:val="it-IT" w:eastAsia="en-US"/>
              </w:rPr>
              <w:t>Secțiunea 4</w:t>
            </w:r>
            <w:r w:rsidRPr="00BF7956">
              <w:rPr>
                <w:rFonts w:eastAsia="Calibri"/>
                <w:b/>
                <w:i/>
                <w:sz w:val="20"/>
                <w:szCs w:val="20"/>
                <w:vertAlign w:val="superscript"/>
                <w:lang w:val="it-IT" w:eastAsia="en-US"/>
              </w:rPr>
              <w:t>1</w:t>
            </w:r>
          </w:p>
          <w:p w14:paraId="56AA675C" w14:textId="77777777" w:rsidR="006C4713" w:rsidRPr="00BF7956" w:rsidRDefault="006C4713" w:rsidP="006C4713">
            <w:pPr>
              <w:tabs>
                <w:tab w:val="left" w:pos="720"/>
              </w:tabs>
              <w:spacing w:after="160" w:line="259" w:lineRule="auto"/>
              <w:contextualSpacing/>
              <w:jc w:val="center"/>
              <w:rPr>
                <w:rFonts w:eastAsia="Calibri"/>
                <w:b/>
                <w:i/>
                <w:sz w:val="20"/>
                <w:szCs w:val="20"/>
                <w:lang w:val="it-IT" w:eastAsia="en-US"/>
              </w:rPr>
            </w:pPr>
            <w:r w:rsidRPr="00BF7956">
              <w:rPr>
                <w:rFonts w:eastAsia="Calibri"/>
                <w:b/>
                <w:i/>
                <w:sz w:val="20"/>
                <w:szCs w:val="20"/>
                <w:lang w:val="it-IT" w:eastAsia="en-US"/>
              </w:rPr>
              <w:t>Raportarea indicatorilor suplimentari de monitorizare a lichidităţii</w:t>
            </w:r>
          </w:p>
          <w:p w14:paraId="624C281C" w14:textId="77777777" w:rsidR="006C4713" w:rsidRPr="00BF7956" w:rsidRDefault="006C4713" w:rsidP="006C4713">
            <w:pPr>
              <w:tabs>
                <w:tab w:val="left" w:pos="720"/>
              </w:tabs>
              <w:spacing w:after="160" w:line="259" w:lineRule="auto"/>
              <w:contextualSpacing/>
              <w:jc w:val="center"/>
              <w:rPr>
                <w:rFonts w:eastAsia="Calibri"/>
                <w:b/>
                <w:i/>
                <w:sz w:val="20"/>
                <w:szCs w:val="20"/>
                <w:lang w:val="it-IT" w:eastAsia="en-US"/>
              </w:rPr>
            </w:pPr>
            <w:r w:rsidRPr="00BF7956">
              <w:rPr>
                <w:rFonts w:eastAsia="Calibri"/>
                <w:b/>
                <w:i/>
                <w:sz w:val="20"/>
                <w:szCs w:val="20"/>
                <w:lang w:val="it-IT" w:eastAsia="en-US"/>
              </w:rPr>
              <w:t>pe bază individuală și pe bază consolidată</w:t>
            </w:r>
          </w:p>
          <w:p w14:paraId="1086ACE5" w14:textId="77777777" w:rsidR="006B4614" w:rsidRDefault="006C4713" w:rsidP="006C4713">
            <w:pPr>
              <w:autoSpaceDE w:val="0"/>
              <w:autoSpaceDN w:val="0"/>
              <w:adjustRightInd w:val="0"/>
              <w:spacing w:before="60" w:after="60"/>
              <w:rPr>
                <w:rFonts w:eastAsia="Calibri"/>
                <w:sz w:val="20"/>
                <w:szCs w:val="20"/>
                <w:lang w:val="it-IT" w:eastAsia="en-US"/>
              </w:rPr>
            </w:pPr>
            <w:r w:rsidRPr="00BF7956">
              <w:rPr>
                <w:rFonts w:eastAsia="Calibri"/>
                <w:b/>
                <w:sz w:val="20"/>
                <w:szCs w:val="20"/>
                <w:lang w:val="it-IT" w:eastAsia="en-US"/>
              </w:rPr>
              <w:t>16</w:t>
            </w:r>
            <w:r w:rsidRPr="00BF7956">
              <w:rPr>
                <w:rFonts w:eastAsia="Calibri"/>
                <w:b/>
                <w:sz w:val="20"/>
                <w:szCs w:val="20"/>
                <w:vertAlign w:val="superscript"/>
                <w:lang w:val="it-IT" w:eastAsia="en-US"/>
              </w:rPr>
              <w:t>3</w:t>
            </w:r>
            <w:r w:rsidRPr="00BF7956">
              <w:rPr>
                <w:rFonts w:eastAsia="Calibri"/>
                <w:b/>
                <w:sz w:val="20"/>
                <w:szCs w:val="20"/>
                <w:lang w:val="it-IT" w:eastAsia="en-US"/>
              </w:rPr>
              <w:t xml:space="preserve">. </w:t>
            </w:r>
            <w:r w:rsidRPr="00BF7956">
              <w:rPr>
                <w:rFonts w:eastAsia="Calibri"/>
                <w:sz w:val="20"/>
                <w:szCs w:val="20"/>
                <w:lang w:val="it-IT" w:eastAsia="en-US"/>
              </w:rPr>
              <w:t xml:space="preserve">Pentru a raporta, pe bază individuală și pe bază consolidată, informaţiile privind indicatorii suplimentari de monitorizare a lichidităţii, băncile transmit toate informaţiile specificate în anexa </w:t>
            </w:r>
            <w:bookmarkStart w:id="1" w:name="_Hlk139613629"/>
            <w:r w:rsidRPr="00BF7956">
              <w:rPr>
                <w:sz w:val="20"/>
                <w:szCs w:val="20"/>
                <w:lang w:val="ro-MD" w:eastAsia="ro-MD"/>
              </w:rPr>
              <w:t>11</w:t>
            </w:r>
            <w:bookmarkEnd w:id="1"/>
            <w:r w:rsidRPr="00BF7956">
              <w:rPr>
                <w:sz w:val="20"/>
                <w:szCs w:val="20"/>
                <w:vertAlign w:val="superscript"/>
                <w:lang w:val="ro-MD" w:eastAsia="ro-MD"/>
              </w:rPr>
              <w:t>1</w:t>
            </w:r>
            <w:r w:rsidRPr="00BF7956">
              <w:rPr>
                <w:rFonts w:eastAsia="Calibri"/>
                <w:sz w:val="20"/>
                <w:szCs w:val="20"/>
                <w:lang w:val="it-IT" w:eastAsia="en-US"/>
              </w:rPr>
              <w:t xml:space="preserve"> cu o frecvenţă lunară.</w:t>
            </w:r>
          </w:p>
          <w:p w14:paraId="6815135D" w14:textId="5E7EC904" w:rsidR="002C43F1" w:rsidRPr="00BF7956" w:rsidRDefault="002C43F1" w:rsidP="006C4713">
            <w:pPr>
              <w:autoSpaceDE w:val="0"/>
              <w:autoSpaceDN w:val="0"/>
              <w:adjustRightInd w:val="0"/>
              <w:spacing w:before="60" w:after="60"/>
              <w:rPr>
                <w:color w:val="000000"/>
                <w:sz w:val="20"/>
                <w:szCs w:val="20"/>
                <w:lang w:val="ro-RO"/>
              </w:rPr>
            </w:pPr>
            <w:r w:rsidRPr="002C43F1">
              <w:rPr>
                <w:color w:val="000000"/>
                <w:sz w:val="20"/>
                <w:szCs w:val="20"/>
                <w:lang w:val="ro-RO"/>
              </w:rPr>
              <w:t>Raportarea indicatorilor suplimentari de monitorizare a lichidităţii pe bază consolidată se prezintă, cu frecvenţă anuală, pentru situaţia din 31 decembrie a anului de referinţă, dar nu mai târziu de 31 mai.</w:t>
            </w:r>
          </w:p>
        </w:tc>
        <w:tc>
          <w:tcPr>
            <w:tcW w:w="1418" w:type="dxa"/>
          </w:tcPr>
          <w:p w14:paraId="0B94CD1A" w14:textId="341CA8DA" w:rsidR="006B4614" w:rsidRPr="00BF7956" w:rsidRDefault="006C4713" w:rsidP="00CC6818">
            <w:pPr>
              <w:jc w:val="both"/>
              <w:rPr>
                <w:bCs/>
                <w:sz w:val="20"/>
                <w:szCs w:val="20"/>
                <w:lang w:val="ro-RO"/>
              </w:rPr>
            </w:pPr>
            <w:r w:rsidRPr="00BF7956">
              <w:rPr>
                <w:bCs/>
                <w:sz w:val="20"/>
                <w:szCs w:val="20"/>
                <w:lang w:val="ro-RO"/>
              </w:rPr>
              <w:t>Compatibil</w:t>
            </w:r>
          </w:p>
        </w:tc>
        <w:tc>
          <w:tcPr>
            <w:tcW w:w="2223" w:type="dxa"/>
          </w:tcPr>
          <w:p w14:paraId="668D0AA7"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4BDE88F3" w14:textId="77777777" w:rsidR="006B4614" w:rsidRPr="00BF7956" w:rsidRDefault="006B4614" w:rsidP="00CC6818">
            <w:pPr>
              <w:jc w:val="both"/>
              <w:rPr>
                <w:sz w:val="20"/>
                <w:szCs w:val="20"/>
                <w:lang w:val="ro-RO"/>
              </w:rPr>
            </w:pPr>
          </w:p>
        </w:tc>
        <w:tc>
          <w:tcPr>
            <w:tcW w:w="992" w:type="dxa"/>
          </w:tcPr>
          <w:p w14:paraId="3338BBC7" w14:textId="77777777" w:rsidR="006B4614" w:rsidRPr="00BF7956" w:rsidRDefault="006B4614" w:rsidP="00CC6818">
            <w:pPr>
              <w:jc w:val="both"/>
              <w:rPr>
                <w:sz w:val="20"/>
                <w:szCs w:val="20"/>
                <w:lang w:val="ro-RO"/>
              </w:rPr>
            </w:pPr>
          </w:p>
        </w:tc>
      </w:tr>
      <w:tr w:rsidR="006B4614" w:rsidRPr="002C43F1" w14:paraId="74C6D58D" w14:textId="77777777" w:rsidTr="00C25F84">
        <w:tc>
          <w:tcPr>
            <w:tcW w:w="4576" w:type="dxa"/>
          </w:tcPr>
          <w:p w14:paraId="3674316F" w14:textId="77777777" w:rsidR="006B4614" w:rsidRPr="00BF7956" w:rsidRDefault="006B4614" w:rsidP="006C4713">
            <w:pPr>
              <w:pStyle w:val="CM4"/>
              <w:spacing w:before="60" w:after="60"/>
              <w:rPr>
                <w:color w:val="000000"/>
                <w:sz w:val="20"/>
                <w:szCs w:val="20"/>
              </w:rPr>
            </w:pPr>
            <w:r w:rsidRPr="00BF7956">
              <w:rPr>
                <w:i/>
                <w:iCs/>
                <w:color w:val="000000"/>
                <w:sz w:val="20"/>
                <w:szCs w:val="20"/>
              </w:rPr>
              <w:t xml:space="preserve">Articolul 19 </w:t>
            </w:r>
          </w:p>
          <w:p w14:paraId="69D3E269" w14:textId="56BDDEA6" w:rsidR="006B4614" w:rsidRPr="00BF7956" w:rsidRDefault="006B4614" w:rsidP="006C4713">
            <w:pPr>
              <w:rPr>
                <w:b/>
                <w:bCs/>
                <w:color w:val="000000"/>
                <w:sz w:val="20"/>
                <w:szCs w:val="20"/>
                <w:lang w:val="it-IT"/>
              </w:rPr>
            </w:pPr>
            <w:r w:rsidRPr="00BF7956">
              <w:rPr>
                <w:b/>
                <w:bCs/>
                <w:color w:val="000000"/>
                <w:sz w:val="20"/>
                <w:szCs w:val="20"/>
                <w:lang w:val="it-IT"/>
              </w:rPr>
              <w:t xml:space="preserve">Raportarea grevării cu sarcini a activelor pe bază individuală și pe bază </w:t>
            </w:r>
            <w:r w:rsidR="00263C0E" w:rsidRPr="00BF7956">
              <w:rPr>
                <w:b/>
                <w:bCs/>
                <w:color w:val="000000"/>
                <w:sz w:val="20"/>
                <w:szCs w:val="20"/>
                <w:lang w:val="it-IT"/>
              </w:rPr>
              <w:t>consolidate</w:t>
            </w:r>
          </w:p>
          <w:p w14:paraId="4005DBA1"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 xml:space="preserve">(1) Pentru a raporta, pe bază individuală și pe bază consolidată, informaţiile cu privire la grevarea cu sarcini a activelor, în conformitate cu articolul 430 </w:t>
            </w:r>
            <w:r w:rsidRPr="00BF7956">
              <w:rPr>
                <w:rFonts w:eastAsia="Arial Unicode MS"/>
                <w:bCs/>
                <w:sz w:val="20"/>
                <w:szCs w:val="20"/>
                <w:lang w:val="it-IT"/>
              </w:rPr>
              <w:lastRenderedPageBreak/>
              <w:t>alineatul (1) litera (g) din Regulamentul (UE) nr. 575/2013, instituţiile transmit informaţiile specificate în anexa XVI la prezentul regulament conform instrucţiunilor prevăzute în anexa XVII la prezentul regulament.</w:t>
            </w:r>
          </w:p>
          <w:p w14:paraId="3BC77852"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(2) Informaţiile menţionate la alineatul (1) se furnizează după cum urmează:</w:t>
            </w:r>
          </w:p>
          <w:p w14:paraId="6E5FAA8B"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(a) informaţiile specificate în anexa XVI părţile A, B și D, cu o frecvenţă trimestrială;</w:t>
            </w:r>
          </w:p>
          <w:p w14:paraId="671E7EA5"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(b) informaţiile specificate în anexa XVI partea C, cu o frecvenţă anuală;</w:t>
            </w:r>
          </w:p>
          <w:p w14:paraId="17ED6C5E"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(c) informaţiile specificate în anexa XVI partea E, cu o frecvenţă bianuală.</w:t>
            </w:r>
          </w:p>
          <w:p w14:paraId="0A62FF42"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(3) Instituţiile nu au obligaţia de a raporta informaţiile specificate în anexa XVI părţile B, C și E dacă sunt îndeplinite ambele condiţii de mai jos:</w:t>
            </w:r>
          </w:p>
          <w:p w14:paraId="12E747CB"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(a) instituţia nu este considerată o instituţie mare;</w:t>
            </w:r>
          </w:p>
          <w:p w14:paraId="4DB9EECB"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(b) nivelul grevării cu sarcini a activelor instituţiei, astfel cum a fost calculat în conformitate cu anexa XVII punctul 1.6 subpunctul 9, se situează sub 15 %.</w:t>
            </w:r>
          </w:p>
          <w:p w14:paraId="4307C3F5" w14:textId="23246CDA" w:rsidR="00262BB7" w:rsidRPr="00BF7956" w:rsidRDefault="00262BB7" w:rsidP="006C4713">
            <w:pPr>
              <w:rPr>
                <w:rFonts w:eastAsia="Arial Unicode MS"/>
                <w:bCs/>
                <w:sz w:val="20"/>
                <w:szCs w:val="20"/>
                <w:lang w:val="it-IT"/>
              </w:rPr>
            </w:pPr>
            <w:r w:rsidRPr="00BF7956">
              <w:rPr>
                <w:rFonts w:eastAsia="Arial Unicode MS"/>
                <w:bCs/>
                <w:sz w:val="20"/>
                <w:szCs w:val="20"/>
                <w:lang w:val="it-IT"/>
              </w:rPr>
              <w:t>Se aplică criteriile de intrare și de ieșire prevăzute la articolul 4 alineatul (3).</w:t>
            </w:r>
          </w:p>
          <w:p w14:paraId="1BF5733C" w14:textId="77777777" w:rsidR="00262BB7" w:rsidRPr="00BF7956" w:rsidRDefault="00262BB7" w:rsidP="006C4713">
            <w:pPr>
              <w:rPr>
                <w:rFonts w:eastAsia="Arial Unicode MS"/>
                <w:bCs/>
                <w:sz w:val="20"/>
                <w:szCs w:val="20"/>
                <w:lang w:val="it-IT"/>
              </w:rPr>
            </w:pPr>
            <w:r w:rsidRPr="00BF7956">
              <w:rPr>
                <w:rFonts w:eastAsia="Arial Unicode MS"/>
                <w:bCs/>
                <w:sz w:val="20"/>
                <w:szCs w:val="20"/>
                <w:lang w:val="it-IT"/>
              </w:rPr>
              <w:t>(4) Instituţiile raportează informaţiile specificate în anexa XVI partea D numai în cazul în care emit obligaţiunile menţionate la articolul 52 alineatul (4) primul paragraf din Directiva 2009/65/CE a Parlamentului European și a Consiliului ( 1 ).</w:t>
            </w:r>
          </w:p>
          <w:p w14:paraId="2A2C0241" w14:textId="3252877C" w:rsidR="00263C0E" w:rsidRPr="00BF7956" w:rsidRDefault="00262BB7" w:rsidP="006C4713">
            <w:pPr>
              <w:rPr>
                <w:rFonts w:eastAsia="Arial Unicode MS"/>
                <w:bCs/>
                <w:sz w:val="20"/>
                <w:szCs w:val="20"/>
                <w:lang w:val="it-IT"/>
              </w:rPr>
            </w:pPr>
            <w:r w:rsidRPr="00BF7956">
              <w:rPr>
                <w:rFonts w:eastAsia="Arial Unicode MS"/>
                <w:bCs/>
                <w:sz w:val="20"/>
                <w:szCs w:val="20"/>
                <w:lang w:val="it-IT"/>
              </w:rPr>
              <w:t>Se aplică criteriile de intrare și de ieșire prevăzute la articolul 4 alineatul (3).</w:t>
            </w:r>
          </w:p>
        </w:tc>
        <w:tc>
          <w:tcPr>
            <w:tcW w:w="4536" w:type="dxa"/>
            <w:shd w:val="clear" w:color="auto" w:fill="auto"/>
          </w:tcPr>
          <w:p w14:paraId="755F36DA"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60C82EB9" w14:textId="6EBA75A7"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7AB54DD7"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18781AC2" w14:textId="77777777" w:rsidR="006B4614" w:rsidRPr="00BF7956" w:rsidRDefault="006B4614" w:rsidP="00CC6818">
            <w:pPr>
              <w:jc w:val="both"/>
              <w:rPr>
                <w:sz w:val="20"/>
                <w:szCs w:val="20"/>
                <w:lang w:val="ro-RO"/>
              </w:rPr>
            </w:pPr>
          </w:p>
        </w:tc>
        <w:tc>
          <w:tcPr>
            <w:tcW w:w="992" w:type="dxa"/>
          </w:tcPr>
          <w:p w14:paraId="52A73C72" w14:textId="77777777" w:rsidR="006B4614" w:rsidRPr="00BF7956" w:rsidRDefault="006B4614" w:rsidP="00CC6818">
            <w:pPr>
              <w:jc w:val="both"/>
              <w:rPr>
                <w:sz w:val="20"/>
                <w:szCs w:val="20"/>
                <w:lang w:val="ro-RO"/>
              </w:rPr>
            </w:pPr>
          </w:p>
        </w:tc>
      </w:tr>
      <w:tr w:rsidR="006B4614" w:rsidRPr="002C43F1" w14:paraId="107B4075" w14:textId="77777777" w:rsidTr="00C25F84">
        <w:tc>
          <w:tcPr>
            <w:tcW w:w="4576" w:type="dxa"/>
          </w:tcPr>
          <w:p w14:paraId="39F3D028"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20 </w:t>
            </w:r>
          </w:p>
          <w:p w14:paraId="46F5DE21" w14:textId="77777777" w:rsidR="006B4614" w:rsidRPr="00BF7956" w:rsidRDefault="006B4614" w:rsidP="006B4614">
            <w:pPr>
              <w:jc w:val="both"/>
              <w:rPr>
                <w:b/>
                <w:bCs/>
                <w:color w:val="000000"/>
                <w:sz w:val="20"/>
                <w:szCs w:val="20"/>
                <w:lang w:val="it-IT"/>
              </w:rPr>
            </w:pPr>
            <w:r w:rsidRPr="00BF7956">
              <w:rPr>
                <w:b/>
                <w:bCs/>
                <w:color w:val="000000"/>
                <w:sz w:val="20"/>
                <w:szCs w:val="20"/>
                <w:lang w:val="it-IT"/>
              </w:rPr>
              <w:t>Raportarea suplimentară pe bază consolidată cu scopul de a identifica G-SII și de a le atribui acestora rate ale amortizorului</w:t>
            </w:r>
          </w:p>
          <w:p w14:paraId="06E7CC5B"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(1) Pentru a raporta informaţii suplimentare cu scopul de a identifica G-SII și de a le atribui acestora rate ale amortizorului în temeiul articolului 131 din Directiva 2013/36/UE, instituţiile-mamă din UE, holdingurile financiare mamă din UE și holdingurile financiare mixte mamă din UE transmit informaţiile specificate </w:t>
            </w:r>
            <w:r w:rsidRPr="00BF7956">
              <w:rPr>
                <w:color w:val="000000"/>
                <w:sz w:val="20"/>
                <w:szCs w:val="20"/>
              </w:rPr>
              <w:lastRenderedPageBreak/>
              <w:t xml:space="preserve">în anexa XXVI în conformitate cu instrucţiunile din anexa XXVII, pe bază consolidată, cu o frecvenţă trimestrială. </w:t>
            </w:r>
          </w:p>
          <w:p w14:paraId="05976D4B"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(2) Instituţiile-mamă din UE, holdingurile financiare mamă din UE și holdingurile financiare mixte mamă din UE transmit informaţiile menţionate la alineatul (1) numai dacă sunt îndeplinite ambele condiţii de mai jos: </w:t>
            </w:r>
          </w:p>
          <w:p w14:paraId="1D488C7F"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(a) indicatorul de măsurare a expunerii totale a grupului, inclusiv a filialelor de asigurări, este mai mare sau egal cu 125 000 de milioane EUR; </w:t>
            </w:r>
          </w:p>
          <w:p w14:paraId="0342AB19"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(b) societatea-mamă din UE sau oricare dintre filialele acesteia sau orice sucursală exploatată de către societatea-mamă ori de o filială este situată într-un stat membru participant, astfel cum este menţionat la articolul 4 din Regulamentul (UE) nr. 806/2014 al Parlamentului European și al Consiliului ( 2 ). </w:t>
            </w:r>
          </w:p>
          <w:p w14:paraId="2FAA9215"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(3) Prin derogare de la articolul 3 alineatul (1) litera (b), informaţiile menţionate la alineatul (1) din prezentul articol se depun până la încheierea activităţii la următoarele date de transmitere: 1 iulie, 1 octombrie, 2 ianuarie și 1 aprilie. </w:t>
            </w:r>
          </w:p>
          <w:p w14:paraId="3DB30BB8"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(4) Prin derogare de la articolul 4, se aplică următoarele dispoziţii cu privire la pragul menţionat la alineatul (2) litera (a) din prezentul articol: </w:t>
            </w:r>
          </w:p>
          <w:p w14:paraId="3A1EEBC3" w14:textId="77777777" w:rsidR="00262BB7" w:rsidRPr="00BF7956" w:rsidRDefault="00262BB7" w:rsidP="00262BB7">
            <w:pPr>
              <w:jc w:val="both"/>
              <w:rPr>
                <w:color w:val="000000"/>
                <w:sz w:val="20"/>
                <w:szCs w:val="20"/>
                <w:lang w:val="ro-MD"/>
              </w:rPr>
            </w:pPr>
            <w:r w:rsidRPr="00BF7956">
              <w:rPr>
                <w:color w:val="000000"/>
                <w:sz w:val="20"/>
                <w:szCs w:val="20"/>
                <w:lang w:val="ro-MD"/>
              </w:rPr>
              <w:t>(a) instituţia-mamă din UE, holdingul financiar mamă din UE sau holdingul financiar mixt mamă din UE începe imediat să raporteze informaţiile în conformitate cu prezentul articol în cazul în care indicatorul de măsurare a expunerii pentru calcularea indicatorului efectului de levier depășește pragul specificat la sfârșitul exerciţiului financiar și raportează aceste informaţii cel târziu până la sfârșitul exerciţiului financiar respectiv și la cele trei date trimestriale de referinţă ulterioare;</w:t>
            </w:r>
          </w:p>
          <w:p w14:paraId="4DB10A52" w14:textId="762B13E9" w:rsidR="00262BB7" w:rsidRPr="00BF7956" w:rsidRDefault="00262BB7" w:rsidP="00262BB7">
            <w:pPr>
              <w:jc w:val="both"/>
              <w:rPr>
                <w:rFonts w:eastAsia="Arial Unicode MS"/>
                <w:bCs/>
                <w:sz w:val="20"/>
                <w:szCs w:val="20"/>
                <w:lang w:val="ro-MD"/>
              </w:rPr>
            </w:pPr>
            <w:r w:rsidRPr="00BF7956">
              <w:rPr>
                <w:rFonts w:eastAsia="Arial Unicode MS"/>
                <w:bCs/>
                <w:sz w:val="20"/>
                <w:szCs w:val="20"/>
                <w:lang w:val="ro-MD"/>
              </w:rPr>
              <w:t xml:space="preserve">(b) instituţia-mamă din UE, holdingul financiar mamă din UE sau holdingul financiar mixt mamă din UE încetează imediat raportarea informaţiilor în </w:t>
            </w:r>
            <w:r w:rsidRPr="00BF7956">
              <w:rPr>
                <w:rFonts w:eastAsia="Arial Unicode MS"/>
                <w:bCs/>
                <w:sz w:val="20"/>
                <w:szCs w:val="20"/>
                <w:lang w:val="ro-MD"/>
              </w:rPr>
              <w:lastRenderedPageBreak/>
              <w:t>conformitate cu prezentul articol în cazul în care indicatorul său de măsurare a expunerii pentru calcularea indicatorului efectului de levier se situează, la sfârșitul exerciţiului financiar, sub pragul specificat.</w:t>
            </w:r>
          </w:p>
        </w:tc>
        <w:tc>
          <w:tcPr>
            <w:tcW w:w="4536" w:type="dxa"/>
            <w:shd w:val="clear" w:color="auto" w:fill="auto"/>
          </w:tcPr>
          <w:p w14:paraId="1BE5DBBC"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5C2B7D02" w14:textId="0240676E"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0B679B08"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20B34B90" w14:textId="77777777" w:rsidR="006B4614" w:rsidRPr="00BF7956" w:rsidRDefault="006B4614" w:rsidP="00CC6818">
            <w:pPr>
              <w:jc w:val="both"/>
              <w:rPr>
                <w:sz w:val="20"/>
                <w:szCs w:val="20"/>
                <w:lang w:val="ro-RO"/>
              </w:rPr>
            </w:pPr>
          </w:p>
        </w:tc>
        <w:tc>
          <w:tcPr>
            <w:tcW w:w="992" w:type="dxa"/>
          </w:tcPr>
          <w:p w14:paraId="19669BFF" w14:textId="77777777" w:rsidR="006B4614" w:rsidRPr="00BF7956" w:rsidRDefault="006B4614" w:rsidP="00CC6818">
            <w:pPr>
              <w:jc w:val="both"/>
              <w:rPr>
                <w:sz w:val="20"/>
                <w:szCs w:val="20"/>
                <w:lang w:val="ro-RO"/>
              </w:rPr>
            </w:pPr>
          </w:p>
        </w:tc>
      </w:tr>
      <w:tr w:rsidR="006B4614" w:rsidRPr="002C43F1" w14:paraId="380DAF33" w14:textId="77777777" w:rsidTr="00C25F84">
        <w:tc>
          <w:tcPr>
            <w:tcW w:w="4576" w:type="dxa"/>
          </w:tcPr>
          <w:p w14:paraId="3038DA7B" w14:textId="161A3084" w:rsidR="006B4614" w:rsidRPr="00BF7956" w:rsidRDefault="006B4614" w:rsidP="006B4614">
            <w:pPr>
              <w:pStyle w:val="CM4"/>
              <w:spacing w:before="60" w:after="60"/>
              <w:rPr>
                <w:i/>
                <w:iCs/>
                <w:color w:val="000000"/>
                <w:sz w:val="20"/>
                <w:szCs w:val="20"/>
              </w:rPr>
            </w:pPr>
            <w:r w:rsidRPr="00BF7956">
              <w:rPr>
                <w:i/>
                <w:iCs/>
                <w:color w:val="000000"/>
                <w:sz w:val="20"/>
                <w:szCs w:val="20"/>
              </w:rPr>
              <w:lastRenderedPageBreak/>
              <w:t xml:space="preserve">Articolul 21 </w:t>
            </w:r>
          </w:p>
          <w:p w14:paraId="5B805443" w14:textId="77777777" w:rsidR="006B4614" w:rsidRPr="00BF7956" w:rsidRDefault="006B4614" w:rsidP="006B4614">
            <w:pPr>
              <w:jc w:val="both"/>
              <w:rPr>
                <w:b/>
                <w:bCs/>
                <w:color w:val="000000"/>
                <w:sz w:val="20"/>
                <w:szCs w:val="20"/>
                <w:lang w:val="it-IT"/>
              </w:rPr>
            </w:pPr>
            <w:r w:rsidRPr="00BF7956">
              <w:rPr>
                <w:b/>
                <w:bCs/>
                <w:color w:val="000000"/>
                <w:sz w:val="20"/>
                <w:szCs w:val="20"/>
                <w:lang w:val="it-IT"/>
              </w:rPr>
              <w:t>Formatele pentru schimbul de date și informaţiile care însoţesc datele transmise</w:t>
            </w:r>
          </w:p>
          <w:p w14:paraId="3B61D3F0"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(1) Instituţiile transmit informaţiile în formatele și prezentările pentru schimbul de date specificate de autorităţile competente, respectând definiţia punctelor de date inclusă în modelul punctelor de date din anexa XIV și formulele de validare menţionate în anexa XV, precum și următoarele specificaţii: </w:t>
            </w:r>
          </w:p>
          <w:p w14:paraId="330C6C44"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(a) informaţiile care nu sunt necesare sau care nu se aplică nu sunt incluse în transmisia de date; </w:t>
            </w:r>
          </w:p>
          <w:p w14:paraId="7EA22A84"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(b) valorile numerice se transmit după cum urmează: </w:t>
            </w:r>
          </w:p>
          <w:p w14:paraId="2E46048A"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(i) punctele de date cu tipul de date „Monetar” se raportează cu o precizie minimă de mii de unităţi; </w:t>
            </w:r>
          </w:p>
          <w:p w14:paraId="4F28DBE7"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(ii) punctele de date cu tipul de date „Procent” se exprimă per unitate cu o precizie minimă de patru zecimale; </w:t>
            </w:r>
          </w:p>
          <w:p w14:paraId="6D89087A"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(iii) punctele de date cu tipul de date „Număr întreg” sunt raportate fără a se utiliza zecimale și cu o precizie fixată la unităţi; </w:t>
            </w:r>
          </w:p>
          <w:p w14:paraId="3D172F2D"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(c) instituţiile și întreprinderile de asigurare trebuie identificate exclusiv cu ajutorul identificatorului entităţii juridice (LEI); </w:t>
            </w:r>
          </w:p>
          <w:p w14:paraId="3D7998C1"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(d) entităţile juridice și contrapărţile, altele decât instituţiile și întreprinderile de asigurare, trebuie identificate cu ajutorul LEI în cazul în care acesta este disponibil. </w:t>
            </w:r>
          </w:p>
          <w:p w14:paraId="7CE601EC"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(2) Instituţiile însoţesc datele transmise cu următoarele informaţii: </w:t>
            </w:r>
          </w:p>
          <w:p w14:paraId="1EE4A476"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(a) data de referinţă a raportării și perioada de referinţă; </w:t>
            </w:r>
          </w:p>
          <w:p w14:paraId="448601BB"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(b) moneda de raportare; </w:t>
            </w:r>
          </w:p>
          <w:p w14:paraId="63FD4BFB" w14:textId="77777777" w:rsidR="00262BB7" w:rsidRPr="00BF7956" w:rsidRDefault="00262BB7" w:rsidP="00262BB7">
            <w:pPr>
              <w:pStyle w:val="CM4"/>
              <w:spacing w:before="60" w:after="60"/>
              <w:rPr>
                <w:color w:val="000000"/>
                <w:sz w:val="20"/>
                <w:szCs w:val="20"/>
              </w:rPr>
            </w:pPr>
            <w:r w:rsidRPr="00BF7956">
              <w:rPr>
                <w:color w:val="000000"/>
                <w:sz w:val="20"/>
                <w:szCs w:val="20"/>
              </w:rPr>
              <w:lastRenderedPageBreak/>
              <w:t xml:space="preserve">(c) standardul de contabilitate; </w:t>
            </w:r>
          </w:p>
          <w:p w14:paraId="0758CF5A" w14:textId="77777777" w:rsidR="00262BB7" w:rsidRPr="00BF7956" w:rsidRDefault="00262BB7" w:rsidP="00262BB7">
            <w:pPr>
              <w:pStyle w:val="CM4"/>
              <w:spacing w:before="60" w:after="60"/>
              <w:rPr>
                <w:color w:val="000000"/>
                <w:sz w:val="20"/>
                <w:szCs w:val="20"/>
              </w:rPr>
            </w:pPr>
            <w:r w:rsidRPr="00BF7956">
              <w:rPr>
                <w:color w:val="000000"/>
                <w:sz w:val="20"/>
                <w:szCs w:val="20"/>
              </w:rPr>
              <w:t xml:space="preserve">(d) identificatorul entităţii juridice (LEI) al instituţiei raportoare; </w:t>
            </w:r>
          </w:p>
          <w:p w14:paraId="2C363703" w14:textId="75176A23" w:rsidR="00262BB7" w:rsidRPr="00BF7956" w:rsidRDefault="00262BB7" w:rsidP="00262BB7">
            <w:pPr>
              <w:jc w:val="both"/>
              <w:rPr>
                <w:rFonts w:eastAsia="Arial Unicode MS"/>
                <w:bCs/>
                <w:sz w:val="20"/>
                <w:szCs w:val="20"/>
                <w:lang w:val="en-US"/>
              </w:rPr>
            </w:pPr>
            <w:r w:rsidRPr="00BF7956">
              <w:rPr>
                <w:color w:val="000000"/>
                <w:sz w:val="20"/>
                <w:szCs w:val="20"/>
              </w:rPr>
              <w:t>(e) perimetrul de consolidare.</w:t>
            </w:r>
          </w:p>
        </w:tc>
        <w:tc>
          <w:tcPr>
            <w:tcW w:w="4536" w:type="dxa"/>
            <w:shd w:val="clear" w:color="auto" w:fill="auto"/>
          </w:tcPr>
          <w:p w14:paraId="36E934D3"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2B9C481D" w14:textId="7BCC9FD4"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258742A0"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5113AF8B" w14:textId="77777777" w:rsidR="006B4614" w:rsidRPr="00BF7956" w:rsidRDefault="006B4614" w:rsidP="00CC6818">
            <w:pPr>
              <w:jc w:val="both"/>
              <w:rPr>
                <w:sz w:val="20"/>
                <w:szCs w:val="20"/>
                <w:lang w:val="ro-RO"/>
              </w:rPr>
            </w:pPr>
          </w:p>
        </w:tc>
        <w:tc>
          <w:tcPr>
            <w:tcW w:w="992" w:type="dxa"/>
          </w:tcPr>
          <w:p w14:paraId="7B4242E8" w14:textId="77777777" w:rsidR="006B4614" w:rsidRPr="00BF7956" w:rsidRDefault="006B4614" w:rsidP="00CC6818">
            <w:pPr>
              <w:jc w:val="both"/>
              <w:rPr>
                <w:sz w:val="20"/>
                <w:szCs w:val="20"/>
                <w:lang w:val="ro-RO"/>
              </w:rPr>
            </w:pPr>
          </w:p>
        </w:tc>
      </w:tr>
      <w:tr w:rsidR="006B4614" w:rsidRPr="002C43F1" w14:paraId="75CFB197" w14:textId="77777777" w:rsidTr="00C25F84">
        <w:tc>
          <w:tcPr>
            <w:tcW w:w="4576" w:type="dxa"/>
          </w:tcPr>
          <w:p w14:paraId="2BBD1DB0"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22 </w:t>
            </w:r>
          </w:p>
          <w:p w14:paraId="73BE0EFD" w14:textId="77777777" w:rsidR="006B4614" w:rsidRPr="00BF7956" w:rsidRDefault="006B4614" w:rsidP="006B4614">
            <w:pPr>
              <w:jc w:val="both"/>
              <w:rPr>
                <w:b/>
                <w:bCs/>
                <w:color w:val="000000"/>
                <w:sz w:val="20"/>
                <w:szCs w:val="20"/>
                <w:lang w:val="it-IT"/>
              </w:rPr>
            </w:pPr>
            <w:r w:rsidRPr="00BF7956">
              <w:rPr>
                <w:b/>
                <w:bCs/>
                <w:color w:val="000000"/>
                <w:sz w:val="20"/>
                <w:szCs w:val="20"/>
                <w:lang w:val="it-IT"/>
              </w:rPr>
              <w:t>Abrogarea Regulamentului de punere în aplicare (UE) nr. 680/2014</w:t>
            </w:r>
          </w:p>
          <w:p w14:paraId="2AF2AF09" w14:textId="77777777"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Regulamentul de punere în aplicare (UE) nr. 680/2014 se abrogă.</w:t>
            </w:r>
          </w:p>
          <w:p w14:paraId="245A3911" w14:textId="3B31AFB5"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Trimiterile la regulamentul abrogat se interpretează ca trimiteri la prezentul regulament.</w:t>
            </w:r>
          </w:p>
        </w:tc>
        <w:tc>
          <w:tcPr>
            <w:tcW w:w="4536" w:type="dxa"/>
            <w:shd w:val="clear" w:color="auto" w:fill="auto"/>
          </w:tcPr>
          <w:p w14:paraId="344BFA46"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61CD12A3" w14:textId="741C830C"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1350F4CC"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23CBFA12" w14:textId="77777777" w:rsidR="006B4614" w:rsidRPr="00BF7956" w:rsidRDefault="006B4614" w:rsidP="00CC6818">
            <w:pPr>
              <w:jc w:val="both"/>
              <w:rPr>
                <w:sz w:val="20"/>
                <w:szCs w:val="20"/>
                <w:lang w:val="ro-RO"/>
              </w:rPr>
            </w:pPr>
          </w:p>
        </w:tc>
        <w:tc>
          <w:tcPr>
            <w:tcW w:w="992" w:type="dxa"/>
          </w:tcPr>
          <w:p w14:paraId="634554B6" w14:textId="77777777" w:rsidR="006B4614" w:rsidRPr="00BF7956" w:rsidRDefault="006B4614" w:rsidP="00CC6818">
            <w:pPr>
              <w:jc w:val="both"/>
              <w:rPr>
                <w:sz w:val="20"/>
                <w:szCs w:val="20"/>
                <w:lang w:val="ro-RO"/>
              </w:rPr>
            </w:pPr>
          </w:p>
        </w:tc>
      </w:tr>
      <w:tr w:rsidR="006B4614" w:rsidRPr="002C43F1" w14:paraId="5C5622A6" w14:textId="77777777" w:rsidTr="00C25F84">
        <w:tc>
          <w:tcPr>
            <w:tcW w:w="4576" w:type="dxa"/>
          </w:tcPr>
          <w:p w14:paraId="0308505B"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Articolul 23 </w:t>
            </w:r>
          </w:p>
          <w:p w14:paraId="1DD2178D" w14:textId="77777777" w:rsidR="006B4614" w:rsidRPr="00BF7956" w:rsidRDefault="006B4614" w:rsidP="006B4614">
            <w:pPr>
              <w:jc w:val="both"/>
              <w:rPr>
                <w:b/>
                <w:bCs/>
                <w:color w:val="000000"/>
                <w:sz w:val="20"/>
                <w:szCs w:val="20"/>
                <w:lang w:val="it-IT"/>
              </w:rPr>
            </w:pPr>
            <w:r w:rsidRPr="00BF7956">
              <w:rPr>
                <w:b/>
                <w:bCs/>
                <w:color w:val="000000"/>
                <w:sz w:val="20"/>
                <w:szCs w:val="20"/>
                <w:lang w:val="it-IT"/>
              </w:rPr>
              <w:t>Intrarea în vigoare și aplicarea</w:t>
            </w:r>
          </w:p>
          <w:p w14:paraId="76FFAE62" w14:textId="77777777"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Prezentul regulament intră în vigoare în ziua următoare datei publicării în Jurnalul Oficial al Uniunii Europene.</w:t>
            </w:r>
          </w:p>
          <w:p w14:paraId="49D1CBA7" w14:textId="77777777"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Se aplică de la 28 iunie 2021.</w:t>
            </w:r>
          </w:p>
          <w:p w14:paraId="107EAECC" w14:textId="77777777"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Fără a aduce atingere celui de al doilea paragraf de la prezentul articol, raportarea privind cerinţa amortizorului pentru indicatorul efectului de levier în cazul instituţiilor identificate drept G-SII, prevăzută în anexa X formularul 47, se aplică de la 1 ianuarie 2023.</w:t>
            </w:r>
          </w:p>
          <w:p w14:paraId="67047584" w14:textId="77777777"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Articolele 9 și 10 încetează să se aplice la 26 iunie 2026.</w:t>
            </w:r>
          </w:p>
          <w:p w14:paraId="7869FD6B" w14:textId="311D25A4" w:rsidR="00262BB7" w:rsidRPr="00BF7956" w:rsidRDefault="00262BB7" w:rsidP="00262BB7">
            <w:pPr>
              <w:jc w:val="both"/>
              <w:rPr>
                <w:rFonts w:eastAsia="Arial Unicode MS"/>
                <w:bCs/>
                <w:sz w:val="20"/>
                <w:szCs w:val="20"/>
                <w:lang w:val="it-IT"/>
              </w:rPr>
            </w:pPr>
            <w:r w:rsidRPr="00BF7956">
              <w:rPr>
                <w:rFonts w:eastAsia="Arial Unicode MS"/>
                <w:bCs/>
                <w:sz w:val="20"/>
                <w:szCs w:val="20"/>
                <w:lang w:val="it-IT"/>
              </w:rPr>
              <w:t>Prezentul regulament este obligatoriu în toate elementele sale și se aplică direct în toate statele membre.</w:t>
            </w:r>
          </w:p>
        </w:tc>
        <w:tc>
          <w:tcPr>
            <w:tcW w:w="4536" w:type="dxa"/>
            <w:shd w:val="clear" w:color="auto" w:fill="auto"/>
          </w:tcPr>
          <w:p w14:paraId="152BD980"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4E43BF11" w14:textId="04DC5E05" w:rsidR="006B4614" w:rsidRPr="00BF7956" w:rsidRDefault="006C4713" w:rsidP="006C4713">
            <w:pPr>
              <w:rPr>
                <w:b/>
                <w:strike/>
                <w:sz w:val="20"/>
                <w:szCs w:val="20"/>
                <w:lang w:val="ro-RO"/>
              </w:rPr>
            </w:pPr>
            <w:r w:rsidRPr="00BF7956">
              <w:rPr>
                <w:sz w:val="20"/>
                <w:szCs w:val="20"/>
                <w:lang w:val="ro-RO"/>
              </w:rPr>
              <w:t>Nu se transpune în prezentul proiect</w:t>
            </w:r>
          </w:p>
        </w:tc>
        <w:tc>
          <w:tcPr>
            <w:tcW w:w="2223" w:type="dxa"/>
          </w:tcPr>
          <w:p w14:paraId="1805D887"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3350755B" w14:textId="77777777" w:rsidR="006B4614" w:rsidRPr="00BF7956" w:rsidRDefault="006B4614" w:rsidP="00CC6818">
            <w:pPr>
              <w:jc w:val="both"/>
              <w:rPr>
                <w:sz w:val="20"/>
                <w:szCs w:val="20"/>
                <w:lang w:val="ro-RO"/>
              </w:rPr>
            </w:pPr>
          </w:p>
        </w:tc>
        <w:tc>
          <w:tcPr>
            <w:tcW w:w="992" w:type="dxa"/>
          </w:tcPr>
          <w:p w14:paraId="30B2F462" w14:textId="77777777" w:rsidR="006B4614" w:rsidRPr="00BF7956" w:rsidRDefault="006B4614" w:rsidP="00CC6818">
            <w:pPr>
              <w:jc w:val="both"/>
              <w:rPr>
                <w:sz w:val="20"/>
                <w:szCs w:val="20"/>
                <w:lang w:val="ro-RO"/>
              </w:rPr>
            </w:pPr>
          </w:p>
        </w:tc>
      </w:tr>
      <w:tr w:rsidR="006B4614" w:rsidRPr="002C43F1" w14:paraId="34555894" w14:textId="77777777" w:rsidTr="00C25F84">
        <w:tc>
          <w:tcPr>
            <w:tcW w:w="4576" w:type="dxa"/>
          </w:tcPr>
          <w:p w14:paraId="511963C6" w14:textId="77777777" w:rsidR="006B4614" w:rsidRPr="00BF7956" w:rsidRDefault="006B4614" w:rsidP="006B4614">
            <w:pPr>
              <w:pStyle w:val="CM4"/>
              <w:spacing w:before="60" w:after="60"/>
              <w:rPr>
                <w:color w:val="000000"/>
                <w:sz w:val="20"/>
                <w:szCs w:val="20"/>
              </w:rPr>
            </w:pPr>
            <w:r w:rsidRPr="00BF7956">
              <w:rPr>
                <w:i/>
                <w:iCs/>
                <w:color w:val="000000"/>
                <w:sz w:val="20"/>
                <w:szCs w:val="20"/>
              </w:rPr>
              <w:t xml:space="preserve">ANEXA I </w:t>
            </w:r>
          </w:p>
          <w:p w14:paraId="3821DFC5" w14:textId="5615865C" w:rsidR="006B4614" w:rsidRPr="00BF7956" w:rsidRDefault="006B4614" w:rsidP="006B4614">
            <w:pPr>
              <w:jc w:val="both"/>
              <w:rPr>
                <w:rFonts w:eastAsia="Arial Unicode MS"/>
                <w:bCs/>
                <w:sz w:val="20"/>
                <w:szCs w:val="20"/>
                <w:lang w:val="it-IT"/>
              </w:rPr>
            </w:pPr>
            <w:r w:rsidRPr="00BF7956">
              <w:rPr>
                <w:b/>
                <w:bCs/>
                <w:color w:val="000000"/>
                <w:sz w:val="20"/>
                <w:szCs w:val="20"/>
                <w:lang w:val="it-IT"/>
              </w:rPr>
              <w:t>RAPORTAREA PRIVIND FONDURILE PROPRII ȘI CERINŢELE DE FONDURI PROPRII</w:t>
            </w:r>
          </w:p>
        </w:tc>
        <w:tc>
          <w:tcPr>
            <w:tcW w:w="4536" w:type="dxa"/>
            <w:shd w:val="clear" w:color="auto" w:fill="auto"/>
          </w:tcPr>
          <w:p w14:paraId="0692549F"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36C51940" w14:textId="1D34FFAF" w:rsidR="006B4614" w:rsidRPr="00BF7956" w:rsidRDefault="00C41A1A" w:rsidP="00C41A1A">
            <w:pPr>
              <w:rPr>
                <w:b/>
                <w:strike/>
                <w:sz w:val="20"/>
                <w:szCs w:val="20"/>
                <w:lang w:val="ro-RO"/>
              </w:rPr>
            </w:pPr>
            <w:r w:rsidRPr="00BF7956">
              <w:rPr>
                <w:sz w:val="20"/>
                <w:szCs w:val="20"/>
                <w:lang w:val="ro-RO"/>
              </w:rPr>
              <w:t>Nu se transpune în prezentul proiect</w:t>
            </w:r>
          </w:p>
        </w:tc>
        <w:tc>
          <w:tcPr>
            <w:tcW w:w="2223" w:type="dxa"/>
          </w:tcPr>
          <w:p w14:paraId="42667CA6"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70C8C252" w14:textId="77777777" w:rsidR="006B4614" w:rsidRPr="00BF7956" w:rsidRDefault="006B4614" w:rsidP="00CC6818">
            <w:pPr>
              <w:jc w:val="both"/>
              <w:rPr>
                <w:sz w:val="20"/>
                <w:szCs w:val="20"/>
                <w:lang w:val="ro-RO"/>
              </w:rPr>
            </w:pPr>
          </w:p>
        </w:tc>
        <w:tc>
          <w:tcPr>
            <w:tcW w:w="992" w:type="dxa"/>
          </w:tcPr>
          <w:p w14:paraId="60D3B1B5" w14:textId="77777777" w:rsidR="006B4614" w:rsidRPr="00BF7956" w:rsidRDefault="006B4614" w:rsidP="00CC6818">
            <w:pPr>
              <w:jc w:val="both"/>
              <w:rPr>
                <w:sz w:val="20"/>
                <w:szCs w:val="20"/>
                <w:lang w:val="ro-RO"/>
              </w:rPr>
            </w:pPr>
          </w:p>
        </w:tc>
      </w:tr>
      <w:tr w:rsidR="006B4614" w:rsidRPr="002C43F1" w14:paraId="5C38A4D5" w14:textId="77777777" w:rsidTr="00C25F84">
        <w:tc>
          <w:tcPr>
            <w:tcW w:w="4576" w:type="dxa"/>
          </w:tcPr>
          <w:p w14:paraId="07AF47C4" w14:textId="77777777" w:rsidR="00280308" w:rsidRPr="00BF7956" w:rsidRDefault="00280308" w:rsidP="00280308">
            <w:pPr>
              <w:pStyle w:val="CM4"/>
              <w:spacing w:before="60" w:after="60"/>
              <w:rPr>
                <w:color w:val="000000"/>
                <w:sz w:val="20"/>
                <w:szCs w:val="20"/>
              </w:rPr>
            </w:pPr>
            <w:r w:rsidRPr="00BF7956">
              <w:rPr>
                <w:i/>
                <w:iCs/>
                <w:color w:val="000000"/>
                <w:sz w:val="20"/>
                <w:szCs w:val="20"/>
              </w:rPr>
              <w:t xml:space="preserve">ANEXA II </w:t>
            </w:r>
          </w:p>
          <w:p w14:paraId="455890B9" w14:textId="6A60D67C" w:rsidR="006B4614" w:rsidRPr="00BF7956" w:rsidRDefault="00280308" w:rsidP="00280308">
            <w:pPr>
              <w:jc w:val="both"/>
              <w:rPr>
                <w:rFonts w:eastAsia="Arial Unicode MS"/>
                <w:bCs/>
                <w:sz w:val="20"/>
                <w:szCs w:val="20"/>
                <w:lang w:val="it-IT"/>
              </w:rPr>
            </w:pPr>
            <w:r w:rsidRPr="00BF7956">
              <w:rPr>
                <w:b/>
                <w:bCs/>
                <w:color w:val="000000"/>
                <w:sz w:val="20"/>
                <w:szCs w:val="20"/>
                <w:lang w:val="it-IT"/>
              </w:rPr>
              <w:t>INSTRUCŢIUNI PENTRU RAPORTAREA PRIVIND FONDURILE PROPRII ȘI CERINŢELE DE FONDURI PROPRII</w:t>
            </w:r>
          </w:p>
        </w:tc>
        <w:tc>
          <w:tcPr>
            <w:tcW w:w="4536" w:type="dxa"/>
            <w:shd w:val="clear" w:color="auto" w:fill="auto"/>
          </w:tcPr>
          <w:p w14:paraId="71B4F314"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45DE395B" w14:textId="116F1E0D" w:rsidR="006B4614"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794B31E5"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54C6163A" w14:textId="77777777" w:rsidR="006B4614" w:rsidRPr="00BF7956" w:rsidRDefault="006B4614" w:rsidP="00CC6818">
            <w:pPr>
              <w:jc w:val="both"/>
              <w:rPr>
                <w:sz w:val="20"/>
                <w:szCs w:val="20"/>
                <w:lang w:val="ro-RO"/>
              </w:rPr>
            </w:pPr>
          </w:p>
        </w:tc>
        <w:tc>
          <w:tcPr>
            <w:tcW w:w="992" w:type="dxa"/>
          </w:tcPr>
          <w:p w14:paraId="4E4F889C" w14:textId="77777777" w:rsidR="006B4614" w:rsidRPr="00BF7956" w:rsidRDefault="006B4614" w:rsidP="00CC6818">
            <w:pPr>
              <w:jc w:val="both"/>
              <w:rPr>
                <w:sz w:val="20"/>
                <w:szCs w:val="20"/>
                <w:lang w:val="ro-RO"/>
              </w:rPr>
            </w:pPr>
          </w:p>
        </w:tc>
      </w:tr>
      <w:tr w:rsidR="006B4614" w:rsidRPr="002C43F1" w14:paraId="115B19CD" w14:textId="77777777" w:rsidTr="00C25F84">
        <w:tc>
          <w:tcPr>
            <w:tcW w:w="4576" w:type="dxa"/>
          </w:tcPr>
          <w:p w14:paraId="12DCE64E" w14:textId="77777777" w:rsidR="00280308" w:rsidRPr="00BF7956" w:rsidRDefault="00280308" w:rsidP="00280308">
            <w:pPr>
              <w:pStyle w:val="CM4"/>
              <w:spacing w:before="60" w:after="60"/>
              <w:rPr>
                <w:color w:val="000000"/>
                <w:sz w:val="20"/>
                <w:szCs w:val="20"/>
              </w:rPr>
            </w:pPr>
            <w:r w:rsidRPr="00BF7956">
              <w:rPr>
                <w:i/>
                <w:iCs/>
                <w:color w:val="000000"/>
                <w:sz w:val="20"/>
                <w:szCs w:val="20"/>
              </w:rPr>
              <w:t xml:space="preserve">ANEXA III </w:t>
            </w:r>
          </w:p>
          <w:p w14:paraId="6B5299B3" w14:textId="3F7BFEC6" w:rsidR="006B4614" w:rsidRPr="00BF7956" w:rsidRDefault="00280308" w:rsidP="00280308">
            <w:pPr>
              <w:jc w:val="both"/>
              <w:rPr>
                <w:rFonts w:eastAsia="Arial Unicode MS"/>
                <w:bCs/>
                <w:sz w:val="20"/>
                <w:szCs w:val="20"/>
                <w:lang w:val="it-IT"/>
              </w:rPr>
            </w:pPr>
            <w:r w:rsidRPr="00BF7956">
              <w:rPr>
                <w:b/>
                <w:bCs/>
                <w:color w:val="000000"/>
                <w:sz w:val="20"/>
                <w:szCs w:val="20"/>
                <w:lang w:val="it-IT"/>
              </w:rPr>
              <w:lastRenderedPageBreak/>
              <w:t>RAPORTAREA INFORMAŢIILOR FINANCIARE ÎN CONFORMITATE CU IFRS</w:t>
            </w:r>
          </w:p>
        </w:tc>
        <w:tc>
          <w:tcPr>
            <w:tcW w:w="4536" w:type="dxa"/>
            <w:shd w:val="clear" w:color="auto" w:fill="auto"/>
          </w:tcPr>
          <w:p w14:paraId="5ADF5AE4"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45AEC833" w14:textId="2803C8A7" w:rsidR="006B4614" w:rsidRPr="00BF7956" w:rsidRDefault="008937C3" w:rsidP="008937C3">
            <w:pPr>
              <w:rPr>
                <w:b/>
                <w:strike/>
                <w:sz w:val="20"/>
                <w:szCs w:val="20"/>
                <w:lang w:val="ro-RO"/>
              </w:rPr>
            </w:pPr>
            <w:r w:rsidRPr="00BF7956">
              <w:rPr>
                <w:sz w:val="20"/>
                <w:szCs w:val="20"/>
                <w:lang w:val="ro-RO"/>
              </w:rPr>
              <w:t xml:space="preserve">Nu se transpune în </w:t>
            </w:r>
            <w:r w:rsidRPr="00BF7956">
              <w:rPr>
                <w:sz w:val="20"/>
                <w:szCs w:val="20"/>
                <w:lang w:val="ro-RO"/>
              </w:rPr>
              <w:lastRenderedPageBreak/>
              <w:t>prezentul proiect</w:t>
            </w:r>
          </w:p>
        </w:tc>
        <w:tc>
          <w:tcPr>
            <w:tcW w:w="2223" w:type="dxa"/>
          </w:tcPr>
          <w:p w14:paraId="5D433187"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75D0028C" w14:textId="77777777" w:rsidR="006B4614" w:rsidRPr="00BF7956" w:rsidRDefault="006B4614" w:rsidP="00CC6818">
            <w:pPr>
              <w:jc w:val="both"/>
              <w:rPr>
                <w:sz w:val="20"/>
                <w:szCs w:val="20"/>
                <w:lang w:val="ro-RO"/>
              </w:rPr>
            </w:pPr>
          </w:p>
        </w:tc>
        <w:tc>
          <w:tcPr>
            <w:tcW w:w="992" w:type="dxa"/>
          </w:tcPr>
          <w:p w14:paraId="47FEB463" w14:textId="77777777" w:rsidR="006B4614" w:rsidRPr="00BF7956" w:rsidRDefault="006B4614" w:rsidP="00CC6818">
            <w:pPr>
              <w:jc w:val="both"/>
              <w:rPr>
                <w:sz w:val="20"/>
                <w:szCs w:val="20"/>
                <w:lang w:val="ro-RO"/>
              </w:rPr>
            </w:pPr>
          </w:p>
        </w:tc>
      </w:tr>
      <w:tr w:rsidR="006B4614" w:rsidRPr="002C43F1" w14:paraId="73939A84" w14:textId="77777777" w:rsidTr="00C25F84">
        <w:tc>
          <w:tcPr>
            <w:tcW w:w="4576" w:type="dxa"/>
          </w:tcPr>
          <w:p w14:paraId="0177B665" w14:textId="77777777" w:rsidR="00280308" w:rsidRPr="00BF7956" w:rsidRDefault="00280308" w:rsidP="00280308">
            <w:pPr>
              <w:pStyle w:val="CM4"/>
              <w:spacing w:before="60" w:after="60"/>
              <w:rPr>
                <w:color w:val="000000"/>
                <w:sz w:val="20"/>
                <w:szCs w:val="20"/>
              </w:rPr>
            </w:pPr>
            <w:r w:rsidRPr="00BF7956">
              <w:rPr>
                <w:i/>
                <w:iCs/>
                <w:color w:val="000000"/>
                <w:sz w:val="20"/>
                <w:szCs w:val="20"/>
              </w:rPr>
              <w:t xml:space="preserve">ANEXA IV </w:t>
            </w:r>
          </w:p>
          <w:p w14:paraId="18C3C2CA" w14:textId="689CF703" w:rsidR="006B4614" w:rsidRPr="00BF7956" w:rsidRDefault="00280308" w:rsidP="00280308">
            <w:pPr>
              <w:jc w:val="both"/>
              <w:rPr>
                <w:rFonts w:eastAsia="Arial Unicode MS"/>
                <w:bCs/>
                <w:sz w:val="20"/>
                <w:szCs w:val="20"/>
                <w:lang w:val="it-IT"/>
              </w:rPr>
            </w:pPr>
            <w:r w:rsidRPr="00BF7956">
              <w:rPr>
                <w:b/>
                <w:bCs/>
                <w:color w:val="000000"/>
                <w:sz w:val="20"/>
                <w:szCs w:val="20"/>
                <w:lang w:val="it-IT"/>
              </w:rPr>
              <w:t>RAPORTAREA INFORMAŢIILOR FINANCIARE ÎN CONFORMITATE CU CADRELE CONTABILE NAŢIONALE</w:t>
            </w:r>
          </w:p>
        </w:tc>
        <w:tc>
          <w:tcPr>
            <w:tcW w:w="4536" w:type="dxa"/>
            <w:shd w:val="clear" w:color="auto" w:fill="auto"/>
          </w:tcPr>
          <w:p w14:paraId="291473AF"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10A6D22D" w14:textId="34357AF2" w:rsidR="006B4614"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6AD9B467"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3CEACC21" w14:textId="77777777" w:rsidR="006B4614" w:rsidRPr="00BF7956" w:rsidRDefault="006B4614" w:rsidP="00CC6818">
            <w:pPr>
              <w:jc w:val="both"/>
              <w:rPr>
                <w:sz w:val="20"/>
                <w:szCs w:val="20"/>
                <w:lang w:val="ro-RO"/>
              </w:rPr>
            </w:pPr>
          </w:p>
        </w:tc>
        <w:tc>
          <w:tcPr>
            <w:tcW w:w="992" w:type="dxa"/>
          </w:tcPr>
          <w:p w14:paraId="16A5D972" w14:textId="77777777" w:rsidR="006B4614" w:rsidRPr="00BF7956" w:rsidRDefault="006B4614" w:rsidP="00CC6818">
            <w:pPr>
              <w:jc w:val="both"/>
              <w:rPr>
                <w:sz w:val="20"/>
                <w:szCs w:val="20"/>
                <w:lang w:val="ro-RO"/>
              </w:rPr>
            </w:pPr>
          </w:p>
        </w:tc>
      </w:tr>
      <w:tr w:rsidR="006B4614" w:rsidRPr="002C43F1" w14:paraId="3E7B9C64" w14:textId="77777777" w:rsidTr="00C25F84">
        <w:tc>
          <w:tcPr>
            <w:tcW w:w="4576" w:type="dxa"/>
          </w:tcPr>
          <w:p w14:paraId="0388533B" w14:textId="77777777" w:rsidR="00280308" w:rsidRPr="00BF7956" w:rsidRDefault="00280308" w:rsidP="00280308">
            <w:pPr>
              <w:pStyle w:val="CM4"/>
              <w:spacing w:before="60" w:after="60"/>
              <w:rPr>
                <w:color w:val="000000"/>
                <w:sz w:val="20"/>
                <w:szCs w:val="20"/>
              </w:rPr>
            </w:pPr>
            <w:r w:rsidRPr="00BF7956">
              <w:rPr>
                <w:i/>
                <w:iCs/>
                <w:color w:val="000000"/>
                <w:sz w:val="20"/>
                <w:szCs w:val="20"/>
              </w:rPr>
              <w:t xml:space="preserve">ANEXA V </w:t>
            </w:r>
          </w:p>
          <w:p w14:paraId="2C42076A" w14:textId="1FEDB968" w:rsidR="006B4614" w:rsidRPr="00BF7956" w:rsidRDefault="00280308" w:rsidP="00280308">
            <w:pPr>
              <w:jc w:val="both"/>
              <w:rPr>
                <w:rFonts w:eastAsia="Arial Unicode MS"/>
                <w:bCs/>
                <w:sz w:val="20"/>
                <w:szCs w:val="20"/>
                <w:lang w:val="it-IT"/>
              </w:rPr>
            </w:pPr>
            <w:r w:rsidRPr="00BF7956">
              <w:rPr>
                <w:b/>
                <w:bCs/>
                <w:color w:val="000000"/>
                <w:sz w:val="20"/>
                <w:szCs w:val="20"/>
                <w:lang w:val="it-IT"/>
              </w:rPr>
              <w:t>INSTRUCŢIUNI PENTRU RAPORTAREA PRIVIND INFORMAŢIILE FINANCIARE</w:t>
            </w:r>
          </w:p>
        </w:tc>
        <w:tc>
          <w:tcPr>
            <w:tcW w:w="4536" w:type="dxa"/>
            <w:shd w:val="clear" w:color="auto" w:fill="auto"/>
          </w:tcPr>
          <w:p w14:paraId="7C232B65"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6C44C33D" w14:textId="02BA6C4F" w:rsidR="006B4614"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2502FD9D"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7EC82CA6" w14:textId="77777777" w:rsidR="006B4614" w:rsidRPr="00BF7956" w:rsidRDefault="006B4614" w:rsidP="00CC6818">
            <w:pPr>
              <w:jc w:val="both"/>
              <w:rPr>
                <w:sz w:val="20"/>
                <w:szCs w:val="20"/>
                <w:lang w:val="ro-RO"/>
              </w:rPr>
            </w:pPr>
          </w:p>
        </w:tc>
        <w:tc>
          <w:tcPr>
            <w:tcW w:w="992" w:type="dxa"/>
          </w:tcPr>
          <w:p w14:paraId="6065DA7B" w14:textId="77777777" w:rsidR="006B4614" w:rsidRPr="00BF7956" w:rsidRDefault="006B4614" w:rsidP="00CC6818">
            <w:pPr>
              <w:jc w:val="both"/>
              <w:rPr>
                <w:sz w:val="20"/>
                <w:szCs w:val="20"/>
                <w:lang w:val="ro-RO"/>
              </w:rPr>
            </w:pPr>
          </w:p>
        </w:tc>
      </w:tr>
      <w:tr w:rsidR="006B4614" w:rsidRPr="002C43F1" w14:paraId="0AE5EF76" w14:textId="77777777" w:rsidTr="00C25F84">
        <w:tc>
          <w:tcPr>
            <w:tcW w:w="4576" w:type="dxa"/>
          </w:tcPr>
          <w:p w14:paraId="71F7E756" w14:textId="77777777" w:rsidR="00280308" w:rsidRPr="00BF7956" w:rsidRDefault="00280308" w:rsidP="00280308">
            <w:pPr>
              <w:pStyle w:val="CM4"/>
              <w:spacing w:before="60" w:after="60"/>
              <w:rPr>
                <w:color w:val="000000"/>
                <w:sz w:val="20"/>
                <w:szCs w:val="20"/>
              </w:rPr>
            </w:pPr>
            <w:r w:rsidRPr="00BF7956">
              <w:rPr>
                <w:i/>
                <w:iCs/>
                <w:color w:val="000000"/>
                <w:sz w:val="20"/>
                <w:szCs w:val="20"/>
              </w:rPr>
              <w:t xml:space="preserve">ANEXA VI </w:t>
            </w:r>
          </w:p>
          <w:p w14:paraId="0C2D026D" w14:textId="4E72C3BB" w:rsidR="006B4614" w:rsidRPr="00BF7956" w:rsidRDefault="00280308" w:rsidP="00280308">
            <w:pPr>
              <w:jc w:val="both"/>
              <w:rPr>
                <w:rFonts w:eastAsia="Arial Unicode MS"/>
                <w:bCs/>
                <w:sz w:val="20"/>
                <w:szCs w:val="20"/>
                <w:lang w:val="it-IT"/>
              </w:rPr>
            </w:pPr>
            <w:r w:rsidRPr="00BF7956">
              <w:rPr>
                <w:b/>
                <w:bCs/>
                <w:color w:val="000000"/>
                <w:sz w:val="20"/>
                <w:szCs w:val="20"/>
                <w:lang w:val="it-IT"/>
              </w:rPr>
              <w:t>RAPORTAREA PIERDERILOR PROVENIND DIN ÎMPRUMUTURI GARANTATE CU BUNURI IMOBILE</w:t>
            </w:r>
          </w:p>
        </w:tc>
        <w:tc>
          <w:tcPr>
            <w:tcW w:w="4536" w:type="dxa"/>
            <w:shd w:val="clear" w:color="auto" w:fill="auto"/>
          </w:tcPr>
          <w:p w14:paraId="35C2D668" w14:textId="77777777" w:rsidR="006B4614" w:rsidRPr="00BF7956" w:rsidRDefault="006B4614" w:rsidP="00CC6818">
            <w:pPr>
              <w:autoSpaceDE w:val="0"/>
              <w:autoSpaceDN w:val="0"/>
              <w:adjustRightInd w:val="0"/>
              <w:spacing w:before="60" w:after="60"/>
              <w:jc w:val="center"/>
              <w:rPr>
                <w:color w:val="000000"/>
                <w:sz w:val="20"/>
                <w:szCs w:val="20"/>
                <w:lang w:val="ro-RO"/>
              </w:rPr>
            </w:pPr>
          </w:p>
        </w:tc>
        <w:tc>
          <w:tcPr>
            <w:tcW w:w="1418" w:type="dxa"/>
          </w:tcPr>
          <w:p w14:paraId="0EA82036" w14:textId="44D9D6BC" w:rsidR="006B4614"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62E87595" w14:textId="77777777" w:rsidR="006B4614" w:rsidRPr="00BF7956" w:rsidRDefault="006B4614" w:rsidP="00CC6818">
            <w:pPr>
              <w:jc w:val="both"/>
              <w:rPr>
                <w:sz w:val="20"/>
                <w:szCs w:val="20"/>
                <w:lang w:val="ro-RO"/>
              </w:rPr>
            </w:pPr>
          </w:p>
        </w:tc>
        <w:tc>
          <w:tcPr>
            <w:tcW w:w="1134" w:type="dxa"/>
            <w:tcBorders>
              <w:top w:val="single" w:sz="4" w:space="0" w:color="auto"/>
              <w:bottom w:val="single" w:sz="4" w:space="0" w:color="auto"/>
            </w:tcBorders>
          </w:tcPr>
          <w:p w14:paraId="0AF3B74A" w14:textId="77777777" w:rsidR="006B4614" w:rsidRPr="00BF7956" w:rsidRDefault="006B4614" w:rsidP="00CC6818">
            <w:pPr>
              <w:jc w:val="both"/>
              <w:rPr>
                <w:sz w:val="20"/>
                <w:szCs w:val="20"/>
                <w:lang w:val="ro-RO"/>
              </w:rPr>
            </w:pPr>
          </w:p>
        </w:tc>
        <w:tc>
          <w:tcPr>
            <w:tcW w:w="992" w:type="dxa"/>
          </w:tcPr>
          <w:p w14:paraId="42CB4369" w14:textId="77777777" w:rsidR="006B4614" w:rsidRPr="00BF7956" w:rsidRDefault="006B4614" w:rsidP="00CC6818">
            <w:pPr>
              <w:jc w:val="both"/>
              <w:rPr>
                <w:sz w:val="20"/>
                <w:szCs w:val="20"/>
                <w:lang w:val="ro-RO"/>
              </w:rPr>
            </w:pPr>
          </w:p>
        </w:tc>
      </w:tr>
      <w:tr w:rsidR="008937C3" w:rsidRPr="002C43F1" w14:paraId="07163B48" w14:textId="77777777" w:rsidTr="00C25F84">
        <w:tc>
          <w:tcPr>
            <w:tcW w:w="4576" w:type="dxa"/>
          </w:tcPr>
          <w:p w14:paraId="3B0EEB73"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VII </w:t>
            </w:r>
          </w:p>
          <w:p w14:paraId="6E294689" w14:textId="466B69D4" w:rsidR="008937C3" w:rsidRPr="00BF7956" w:rsidRDefault="008937C3" w:rsidP="008937C3">
            <w:pPr>
              <w:jc w:val="both"/>
              <w:rPr>
                <w:rFonts w:eastAsia="Arial Unicode MS"/>
                <w:bCs/>
                <w:sz w:val="20"/>
                <w:szCs w:val="20"/>
                <w:lang w:val="it-IT"/>
              </w:rPr>
            </w:pPr>
            <w:r w:rsidRPr="00BF7956">
              <w:rPr>
                <w:b/>
                <w:bCs/>
                <w:color w:val="000000"/>
                <w:sz w:val="20"/>
                <w:szCs w:val="20"/>
                <w:lang w:val="it-IT"/>
              </w:rPr>
              <w:t>INSTRUCŢIUNI PRIVIND RAPORTAREA PIERDERILOR CARE DECURG DIN CREDITE GARANTATE CU BUNURI IMOBILE</w:t>
            </w:r>
          </w:p>
        </w:tc>
        <w:tc>
          <w:tcPr>
            <w:tcW w:w="4536" w:type="dxa"/>
            <w:shd w:val="clear" w:color="auto" w:fill="auto"/>
          </w:tcPr>
          <w:p w14:paraId="4083D6BA"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1CD17936" w14:textId="37286D6E"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2B23C5B7"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1664C0B2" w14:textId="77777777" w:rsidR="008937C3" w:rsidRPr="00BF7956" w:rsidRDefault="008937C3" w:rsidP="008937C3">
            <w:pPr>
              <w:jc w:val="both"/>
              <w:rPr>
                <w:sz w:val="20"/>
                <w:szCs w:val="20"/>
                <w:lang w:val="ro-RO"/>
              </w:rPr>
            </w:pPr>
          </w:p>
        </w:tc>
        <w:tc>
          <w:tcPr>
            <w:tcW w:w="992" w:type="dxa"/>
          </w:tcPr>
          <w:p w14:paraId="32411D85" w14:textId="77777777" w:rsidR="008937C3" w:rsidRPr="00BF7956" w:rsidRDefault="008937C3" w:rsidP="008937C3">
            <w:pPr>
              <w:jc w:val="both"/>
              <w:rPr>
                <w:sz w:val="20"/>
                <w:szCs w:val="20"/>
                <w:lang w:val="ro-RO"/>
              </w:rPr>
            </w:pPr>
          </w:p>
        </w:tc>
      </w:tr>
      <w:tr w:rsidR="008937C3" w:rsidRPr="002C43F1" w14:paraId="3BA4A40B" w14:textId="77777777" w:rsidTr="00C25F84">
        <w:tc>
          <w:tcPr>
            <w:tcW w:w="4576" w:type="dxa"/>
          </w:tcPr>
          <w:p w14:paraId="4C4E2243"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VIII </w:t>
            </w:r>
          </w:p>
          <w:p w14:paraId="363291E7" w14:textId="6C85406D" w:rsidR="008937C3" w:rsidRPr="00BF7956" w:rsidRDefault="008937C3" w:rsidP="008937C3">
            <w:pPr>
              <w:jc w:val="both"/>
              <w:rPr>
                <w:rFonts w:eastAsia="Arial Unicode MS"/>
                <w:bCs/>
                <w:sz w:val="20"/>
                <w:szCs w:val="20"/>
                <w:lang w:val="it-IT"/>
              </w:rPr>
            </w:pPr>
            <w:r w:rsidRPr="00BF7956">
              <w:rPr>
                <w:b/>
                <w:bCs/>
                <w:color w:val="000000"/>
                <w:sz w:val="20"/>
                <w:szCs w:val="20"/>
                <w:lang w:val="it-IT"/>
              </w:rPr>
              <w:t>FORMULARE PENTRU RAPORTAREA EXPUNERILOR MARI ȘI A RISCULUI DE CONCENTRARE</w:t>
            </w:r>
          </w:p>
        </w:tc>
        <w:tc>
          <w:tcPr>
            <w:tcW w:w="4536" w:type="dxa"/>
            <w:shd w:val="clear" w:color="auto" w:fill="auto"/>
          </w:tcPr>
          <w:p w14:paraId="4D140B95"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150D239B" w14:textId="061B071D"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341BA7EF"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24063F43" w14:textId="77777777" w:rsidR="008937C3" w:rsidRPr="00BF7956" w:rsidRDefault="008937C3" w:rsidP="008937C3">
            <w:pPr>
              <w:jc w:val="both"/>
              <w:rPr>
                <w:sz w:val="20"/>
                <w:szCs w:val="20"/>
                <w:lang w:val="ro-RO"/>
              </w:rPr>
            </w:pPr>
          </w:p>
        </w:tc>
        <w:tc>
          <w:tcPr>
            <w:tcW w:w="992" w:type="dxa"/>
          </w:tcPr>
          <w:p w14:paraId="1EB5B31A" w14:textId="77777777" w:rsidR="008937C3" w:rsidRPr="00BF7956" w:rsidRDefault="008937C3" w:rsidP="008937C3">
            <w:pPr>
              <w:jc w:val="both"/>
              <w:rPr>
                <w:sz w:val="20"/>
                <w:szCs w:val="20"/>
                <w:lang w:val="ro-RO"/>
              </w:rPr>
            </w:pPr>
          </w:p>
        </w:tc>
      </w:tr>
      <w:tr w:rsidR="008937C3" w:rsidRPr="002C43F1" w14:paraId="0DF83DB8" w14:textId="77777777" w:rsidTr="00C25F84">
        <w:tc>
          <w:tcPr>
            <w:tcW w:w="4576" w:type="dxa"/>
          </w:tcPr>
          <w:p w14:paraId="160783A5"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IX </w:t>
            </w:r>
          </w:p>
          <w:p w14:paraId="302C0EFB" w14:textId="395218A6" w:rsidR="008937C3" w:rsidRPr="00BF7956" w:rsidRDefault="008937C3" w:rsidP="008937C3">
            <w:pPr>
              <w:jc w:val="both"/>
              <w:rPr>
                <w:rFonts w:eastAsia="Arial Unicode MS"/>
                <w:bCs/>
                <w:sz w:val="20"/>
                <w:szCs w:val="20"/>
                <w:lang w:val="it-IT"/>
              </w:rPr>
            </w:pPr>
            <w:r w:rsidRPr="00BF7956">
              <w:rPr>
                <w:b/>
                <w:bCs/>
                <w:color w:val="000000"/>
                <w:sz w:val="20"/>
                <w:szCs w:val="20"/>
                <w:lang w:val="it-IT"/>
              </w:rPr>
              <w:t>INSTRUCŢIUNI PENTRU RAPORTAREA EXPUNERILOR MARI ȘI A RISCULUI DE CONCENTRARE</w:t>
            </w:r>
          </w:p>
        </w:tc>
        <w:tc>
          <w:tcPr>
            <w:tcW w:w="4536" w:type="dxa"/>
            <w:shd w:val="clear" w:color="auto" w:fill="auto"/>
          </w:tcPr>
          <w:p w14:paraId="25477B57"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42538F5F" w14:textId="2774AE02"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1AB01664"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7057BCDD" w14:textId="77777777" w:rsidR="008937C3" w:rsidRPr="00BF7956" w:rsidRDefault="008937C3" w:rsidP="008937C3">
            <w:pPr>
              <w:jc w:val="both"/>
              <w:rPr>
                <w:sz w:val="20"/>
                <w:szCs w:val="20"/>
                <w:lang w:val="ro-RO"/>
              </w:rPr>
            </w:pPr>
          </w:p>
        </w:tc>
        <w:tc>
          <w:tcPr>
            <w:tcW w:w="992" w:type="dxa"/>
          </w:tcPr>
          <w:p w14:paraId="70F54F83" w14:textId="77777777" w:rsidR="008937C3" w:rsidRPr="00BF7956" w:rsidRDefault="008937C3" w:rsidP="008937C3">
            <w:pPr>
              <w:jc w:val="both"/>
              <w:rPr>
                <w:sz w:val="20"/>
                <w:szCs w:val="20"/>
                <w:lang w:val="ro-RO"/>
              </w:rPr>
            </w:pPr>
          </w:p>
        </w:tc>
      </w:tr>
      <w:tr w:rsidR="008937C3" w:rsidRPr="002C43F1" w14:paraId="464D533F" w14:textId="77777777" w:rsidTr="00C25F84">
        <w:tc>
          <w:tcPr>
            <w:tcW w:w="4576" w:type="dxa"/>
          </w:tcPr>
          <w:p w14:paraId="4E46DE1F"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 </w:t>
            </w:r>
          </w:p>
          <w:p w14:paraId="49FD9039" w14:textId="0FC42ACC" w:rsidR="008937C3" w:rsidRPr="00BF7956" w:rsidRDefault="008937C3" w:rsidP="008937C3">
            <w:pPr>
              <w:jc w:val="both"/>
              <w:rPr>
                <w:rFonts w:eastAsia="Arial Unicode MS"/>
                <w:bCs/>
                <w:sz w:val="20"/>
                <w:szCs w:val="20"/>
                <w:lang w:val="en-US"/>
              </w:rPr>
            </w:pPr>
            <w:r w:rsidRPr="00BF7956">
              <w:rPr>
                <w:b/>
                <w:bCs/>
                <w:color w:val="000000"/>
                <w:sz w:val="20"/>
                <w:szCs w:val="20"/>
                <w:lang w:val="en-US"/>
              </w:rPr>
              <w:t>RAPORTAREA PRIVIND EFECTUL DE LEVIER</w:t>
            </w:r>
          </w:p>
        </w:tc>
        <w:tc>
          <w:tcPr>
            <w:tcW w:w="4536" w:type="dxa"/>
            <w:shd w:val="clear" w:color="auto" w:fill="auto"/>
          </w:tcPr>
          <w:p w14:paraId="1F92B73F"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5A8CABE0" w14:textId="4E20E119"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61AA8EDC"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673769A2" w14:textId="77777777" w:rsidR="008937C3" w:rsidRPr="00BF7956" w:rsidRDefault="008937C3" w:rsidP="008937C3">
            <w:pPr>
              <w:jc w:val="both"/>
              <w:rPr>
                <w:sz w:val="20"/>
                <w:szCs w:val="20"/>
                <w:lang w:val="ro-RO"/>
              </w:rPr>
            </w:pPr>
          </w:p>
        </w:tc>
        <w:tc>
          <w:tcPr>
            <w:tcW w:w="992" w:type="dxa"/>
          </w:tcPr>
          <w:p w14:paraId="53DC5247" w14:textId="77777777" w:rsidR="008937C3" w:rsidRPr="00BF7956" w:rsidRDefault="008937C3" w:rsidP="008937C3">
            <w:pPr>
              <w:jc w:val="both"/>
              <w:rPr>
                <w:sz w:val="20"/>
                <w:szCs w:val="20"/>
                <w:lang w:val="ro-RO"/>
              </w:rPr>
            </w:pPr>
          </w:p>
        </w:tc>
      </w:tr>
      <w:tr w:rsidR="008937C3" w:rsidRPr="002C43F1" w14:paraId="7DCA54D0" w14:textId="77777777" w:rsidTr="00C25F84">
        <w:tc>
          <w:tcPr>
            <w:tcW w:w="4576" w:type="dxa"/>
          </w:tcPr>
          <w:p w14:paraId="6DB3DA9A"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XI </w:t>
            </w:r>
          </w:p>
          <w:p w14:paraId="0DE684EA" w14:textId="27D63271" w:rsidR="008937C3" w:rsidRPr="00BF7956" w:rsidRDefault="008937C3" w:rsidP="008937C3">
            <w:pPr>
              <w:jc w:val="both"/>
              <w:rPr>
                <w:rFonts w:eastAsia="Arial Unicode MS"/>
                <w:bCs/>
                <w:sz w:val="20"/>
                <w:szCs w:val="20"/>
                <w:lang w:val="it-IT"/>
              </w:rPr>
            </w:pPr>
            <w:r w:rsidRPr="00BF7956">
              <w:rPr>
                <w:b/>
                <w:bCs/>
                <w:color w:val="000000"/>
                <w:sz w:val="20"/>
                <w:szCs w:val="20"/>
                <w:lang w:val="it-IT"/>
              </w:rPr>
              <w:t>INSTRUCŢIUNI PENTRU RAPORTAREA PRIVIND EFECTUL DE LEVIER</w:t>
            </w:r>
          </w:p>
        </w:tc>
        <w:tc>
          <w:tcPr>
            <w:tcW w:w="4536" w:type="dxa"/>
            <w:shd w:val="clear" w:color="auto" w:fill="auto"/>
          </w:tcPr>
          <w:p w14:paraId="5F85CB97"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2AE03DBE" w14:textId="7BD527CD"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77AD6C59"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532299BA" w14:textId="77777777" w:rsidR="008937C3" w:rsidRPr="00BF7956" w:rsidRDefault="008937C3" w:rsidP="008937C3">
            <w:pPr>
              <w:jc w:val="both"/>
              <w:rPr>
                <w:sz w:val="20"/>
                <w:szCs w:val="20"/>
                <w:lang w:val="ro-RO"/>
              </w:rPr>
            </w:pPr>
          </w:p>
        </w:tc>
        <w:tc>
          <w:tcPr>
            <w:tcW w:w="992" w:type="dxa"/>
          </w:tcPr>
          <w:p w14:paraId="71705719" w14:textId="77777777" w:rsidR="008937C3" w:rsidRPr="00BF7956" w:rsidRDefault="008937C3" w:rsidP="008937C3">
            <w:pPr>
              <w:jc w:val="both"/>
              <w:rPr>
                <w:sz w:val="20"/>
                <w:szCs w:val="20"/>
                <w:lang w:val="ro-RO"/>
              </w:rPr>
            </w:pPr>
          </w:p>
        </w:tc>
      </w:tr>
      <w:tr w:rsidR="008937C3" w:rsidRPr="002C43F1" w14:paraId="1FA44B7E" w14:textId="77777777" w:rsidTr="00C25F84">
        <w:tc>
          <w:tcPr>
            <w:tcW w:w="4576" w:type="dxa"/>
          </w:tcPr>
          <w:p w14:paraId="289BFAAD"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XII </w:t>
            </w:r>
          </w:p>
          <w:p w14:paraId="5D999014" w14:textId="02EC97CB" w:rsidR="008937C3" w:rsidRPr="00BF7956" w:rsidRDefault="008937C3" w:rsidP="008937C3">
            <w:pPr>
              <w:jc w:val="both"/>
              <w:rPr>
                <w:rFonts w:eastAsia="Arial Unicode MS"/>
                <w:bCs/>
                <w:sz w:val="20"/>
                <w:szCs w:val="20"/>
                <w:lang w:val="it-IT"/>
              </w:rPr>
            </w:pPr>
            <w:r w:rsidRPr="00BF7956">
              <w:rPr>
                <w:b/>
                <w:bCs/>
                <w:color w:val="000000"/>
                <w:sz w:val="20"/>
                <w:szCs w:val="20"/>
                <w:lang w:val="it-IT"/>
              </w:rPr>
              <w:lastRenderedPageBreak/>
              <w:t>RAPORTAREA PRIVIND INDICATORUL DE FINANŢARE STABILĂ NETĂ</w:t>
            </w:r>
          </w:p>
        </w:tc>
        <w:tc>
          <w:tcPr>
            <w:tcW w:w="4536" w:type="dxa"/>
            <w:shd w:val="clear" w:color="auto" w:fill="auto"/>
          </w:tcPr>
          <w:p w14:paraId="67392582"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1660C8B1" w14:textId="074193CA" w:rsidR="008937C3" w:rsidRPr="00BF7956" w:rsidRDefault="008937C3" w:rsidP="008937C3">
            <w:pPr>
              <w:rPr>
                <w:b/>
                <w:strike/>
                <w:sz w:val="20"/>
                <w:szCs w:val="20"/>
                <w:lang w:val="ro-RO"/>
              </w:rPr>
            </w:pPr>
            <w:r w:rsidRPr="00BF7956">
              <w:rPr>
                <w:sz w:val="20"/>
                <w:szCs w:val="20"/>
                <w:lang w:val="ro-RO"/>
              </w:rPr>
              <w:t xml:space="preserve">Nu se transpune în </w:t>
            </w:r>
            <w:r w:rsidRPr="00BF7956">
              <w:rPr>
                <w:sz w:val="20"/>
                <w:szCs w:val="20"/>
                <w:lang w:val="ro-RO"/>
              </w:rPr>
              <w:lastRenderedPageBreak/>
              <w:t>prezentul proiect</w:t>
            </w:r>
          </w:p>
        </w:tc>
        <w:tc>
          <w:tcPr>
            <w:tcW w:w="2223" w:type="dxa"/>
          </w:tcPr>
          <w:p w14:paraId="19FFE753"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095A1766" w14:textId="77777777" w:rsidR="008937C3" w:rsidRPr="00BF7956" w:rsidRDefault="008937C3" w:rsidP="008937C3">
            <w:pPr>
              <w:jc w:val="both"/>
              <w:rPr>
                <w:sz w:val="20"/>
                <w:szCs w:val="20"/>
                <w:lang w:val="ro-RO"/>
              </w:rPr>
            </w:pPr>
          </w:p>
        </w:tc>
        <w:tc>
          <w:tcPr>
            <w:tcW w:w="992" w:type="dxa"/>
          </w:tcPr>
          <w:p w14:paraId="60405907" w14:textId="77777777" w:rsidR="008937C3" w:rsidRPr="00BF7956" w:rsidRDefault="008937C3" w:rsidP="008937C3">
            <w:pPr>
              <w:jc w:val="both"/>
              <w:rPr>
                <w:sz w:val="20"/>
                <w:szCs w:val="20"/>
                <w:lang w:val="ro-RO"/>
              </w:rPr>
            </w:pPr>
          </w:p>
        </w:tc>
      </w:tr>
      <w:tr w:rsidR="008937C3" w:rsidRPr="002C43F1" w14:paraId="667ECC3A" w14:textId="77777777" w:rsidTr="00C25F84">
        <w:tc>
          <w:tcPr>
            <w:tcW w:w="4576" w:type="dxa"/>
          </w:tcPr>
          <w:p w14:paraId="6BA943C9"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XIII </w:t>
            </w:r>
          </w:p>
          <w:p w14:paraId="2D8FD4C4" w14:textId="579A5FE4" w:rsidR="008937C3" w:rsidRPr="00BF7956" w:rsidRDefault="008937C3" w:rsidP="008937C3">
            <w:pPr>
              <w:jc w:val="both"/>
              <w:rPr>
                <w:rFonts w:eastAsia="Arial Unicode MS"/>
                <w:bCs/>
                <w:sz w:val="20"/>
                <w:szCs w:val="20"/>
                <w:lang w:val="it-IT"/>
              </w:rPr>
            </w:pPr>
            <w:r w:rsidRPr="00BF7956">
              <w:rPr>
                <w:b/>
                <w:bCs/>
                <w:color w:val="000000"/>
                <w:sz w:val="20"/>
                <w:szCs w:val="20"/>
                <w:lang w:val="it-IT"/>
              </w:rPr>
              <w:t>INSTRUCŢIUNI PENTRU RAPORTAREA PRIVIND FINANŢAREA STABILĂ</w:t>
            </w:r>
          </w:p>
        </w:tc>
        <w:tc>
          <w:tcPr>
            <w:tcW w:w="4536" w:type="dxa"/>
            <w:shd w:val="clear" w:color="auto" w:fill="auto"/>
          </w:tcPr>
          <w:p w14:paraId="01E22957"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5C58A2AE" w14:textId="7E716691"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4F65D045"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0FF3B67E" w14:textId="77777777" w:rsidR="008937C3" w:rsidRPr="00BF7956" w:rsidRDefault="008937C3" w:rsidP="008937C3">
            <w:pPr>
              <w:jc w:val="both"/>
              <w:rPr>
                <w:sz w:val="20"/>
                <w:szCs w:val="20"/>
                <w:lang w:val="ro-RO"/>
              </w:rPr>
            </w:pPr>
          </w:p>
        </w:tc>
        <w:tc>
          <w:tcPr>
            <w:tcW w:w="992" w:type="dxa"/>
          </w:tcPr>
          <w:p w14:paraId="13ACC7EF" w14:textId="77777777" w:rsidR="008937C3" w:rsidRPr="00BF7956" w:rsidRDefault="008937C3" w:rsidP="008937C3">
            <w:pPr>
              <w:jc w:val="both"/>
              <w:rPr>
                <w:sz w:val="20"/>
                <w:szCs w:val="20"/>
                <w:lang w:val="ro-RO"/>
              </w:rPr>
            </w:pPr>
          </w:p>
        </w:tc>
      </w:tr>
      <w:tr w:rsidR="008937C3" w:rsidRPr="002C43F1" w14:paraId="340A94B6" w14:textId="77777777" w:rsidTr="00C25F84">
        <w:tc>
          <w:tcPr>
            <w:tcW w:w="4576" w:type="dxa"/>
          </w:tcPr>
          <w:p w14:paraId="750DC4EB"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XIV </w:t>
            </w:r>
          </w:p>
          <w:p w14:paraId="70879A33" w14:textId="2C4862CF" w:rsidR="008937C3" w:rsidRPr="00BF7956" w:rsidRDefault="008937C3" w:rsidP="008937C3">
            <w:pPr>
              <w:jc w:val="both"/>
              <w:rPr>
                <w:rFonts w:eastAsia="Arial Unicode MS"/>
                <w:bCs/>
                <w:sz w:val="20"/>
                <w:szCs w:val="20"/>
                <w:lang w:val="en-US"/>
              </w:rPr>
            </w:pPr>
            <w:r w:rsidRPr="00BF7956">
              <w:rPr>
                <w:b/>
                <w:bCs/>
                <w:color w:val="000000"/>
                <w:sz w:val="20"/>
                <w:szCs w:val="20"/>
                <w:lang w:val="en-US"/>
              </w:rPr>
              <w:t>Modelul unic privind punctele de date</w:t>
            </w:r>
          </w:p>
        </w:tc>
        <w:tc>
          <w:tcPr>
            <w:tcW w:w="4536" w:type="dxa"/>
            <w:shd w:val="clear" w:color="auto" w:fill="auto"/>
          </w:tcPr>
          <w:p w14:paraId="1D3388F2"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5D196D7A" w14:textId="01072A27"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3389B8B0"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457F09D6" w14:textId="77777777" w:rsidR="008937C3" w:rsidRPr="00BF7956" w:rsidRDefault="008937C3" w:rsidP="008937C3">
            <w:pPr>
              <w:jc w:val="both"/>
              <w:rPr>
                <w:sz w:val="20"/>
                <w:szCs w:val="20"/>
                <w:lang w:val="ro-RO"/>
              </w:rPr>
            </w:pPr>
          </w:p>
        </w:tc>
        <w:tc>
          <w:tcPr>
            <w:tcW w:w="992" w:type="dxa"/>
          </w:tcPr>
          <w:p w14:paraId="35A91EAD" w14:textId="77777777" w:rsidR="008937C3" w:rsidRPr="00BF7956" w:rsidRDefault="008937C3" w:rsidP="008937C3">
            <w:pPr>
              <w:jc w:val="both"/>
              <w:rPr>
                <w:sz w:val="20"/>
                <w:szCs w:val="20"/>
                <w:lang w:val="ro-RO"/>
              </w:rPr>
            </w:pPr>
          </w:p>
        </w:tc>
      </w:tr>
      <w:tr w:rsidR="008937C3" w:rsidRPr="002C43F1" w14:paraId="705576DA" w14:textId="77777777" w:rsidTr="00C25F84">
        <w:tc>
          <w:tcPr>
            <w:tcW w:w="4576" w:type="dxa"/>
          </w:tcPr>
          <w:p w14:paraId="32ADD95C"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XV </w:t>
            </w:r>
          </w:p>
          <w:p w14:paraId="76352A37" w14:textId="5278745D" w:rsidR="008937C3" w:rsidRPr="00BF7956" w:rsidRDefault="008937C3" w:rsidP="008937C3">
            <w:pPr>
              <w:jc w:val="both"/>
              <w:rPr>
                <w:rFonts w:eastAsia="Arial Unicode MS"/>
                <w:bCs/>
                <w:sz w:val="20"/>
                <w:szCs w:val="20"/>
                <w:lang w:val="it-IT"/>
              </w:rPr>
            </w:pPr>
            <w:r w:rsidRPr="00BF7956">
              <w:rPr>
                <w:b/>
                <w:bCs/>
                <w:color w:val="000000"/>
                <w:sz w:val="20"/>
                <w:szCs w:val="20"/>
                <w:lang w:val="it-IT"/>
              </w:rPr>
              <w:t>Norme de validare</w:t>
            </w:r>
          </w:p>
        </w:tc>
        <w:tc>
          <w:tcPr>
            <w:tcW w:w="4536" w:type="dxa"/>
            <w:shd w:val="clear" w:color="auto" w:fill="auto"/>
          </w:tcPr>
          <w:p w14:paraId="70A16774"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7B0AC77F" w14:textId="6ECB16D5"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679444CD"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3E205B71" w14:textId="77777777" w:rsidR="008937C3" w:rsidRPr="00BF7956" w:rsidRDefault="008937C3" w:rsidP="008937C3">
            <w:pPr>
              <w:jc w:val="both"/>
              <w:rPr>
                <w:sz w:val="20"/>
                <w:szCs w:val="20"/>
                <w:lang w:val="ro-RO"/>
              </w:rPr>
            </w:pPr>
          </w:p>
        </w:tc>
        <w:tc>
          <w:tcPr>
            <w:tcW w:w="992" w:type="dxa"/>
          </w:tcPr>
          <w:p w14:paraId="7A60D843" w14:textId="77777777" w:rsidR="008937C3" w:rsidRPr="00BF7956" w:rsidRDefault="008937C3" w:rsidP="008937C3">
            <w:pPr>
              <w:jc w:val="both"/>
              <w:rPr>
                <w:sz w:val="20"/>
                <w:szCs w:val="20"/>
                <w:lang w:val="ro-RO"/>
              </w:rPr>
            </w:pPr>
          </w:p>
        </w:tc>
      </w:tr>
      <w:tr w:rsidR="008937C3" w:rsidRPr="002C43F1" w14:paraId="75E631B7" w14:textId="77777777" w:rsidTr="00C25F84">
        <w:tc>
          <w:tcPr>
            <w:tcW w:w="4576" w:type="dxa"/>
          </w:tcPr>
          <w:p w14:paraId="199BF316"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XVI </w:t>
            </w:r>
          </w:p>
          <w:p w14:paraId="25B3ECC3" w14:textId="0EC9614C" w:rsidR="008937C3" w:rsidRPr="00BF7956" w:rsidRDefault="008937C3" w:rsidP="008937C3">
            <w:pPr>
              <w:jc w:val="both"/>
              <w:rPr>
                <w:rFonts w:eastAsia="Arial Unicode MS"/>
                <w:bCs/>
                <w:sz w:val="20"/>
                <w:szCs w:val="20"/>
                <w:lang w:val="it-IT"/>
              </w:rPr>
            </w:pPr>
            <w:r w:rsidRPr="00BF7956">
              <w:rPr>
                <w:b/>
                <w:bCs/>
                <w:color w:val="000000"/>
                <w:sz w:val="20"/>
                <w:szCs w:val="20"/>
                <w:lang w:val="it-IT"/>
              </w:rPr>
              <w:t>FORMULARE DE RAPORTARE PRIVIND GREVAREA CU SARCINI A ACTIVELOR</w:t>
            </w:r>
          </w:p>
        </w:tc>
        <w:tc>
          <w:tcPr>
            <w:tcW w:w="4536" w:type="dxa"/>
            <w:shd w:val="clear" w:color="auto" w:fill="auto"/>
          </w:tcPr>
          <w:p w14:paraId="028EACE4"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368B5536" w14:textId="0B4CD8FA"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1A50BCCF"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2668008E" w14:textId="77777777" w:rsidR="008937C3" w:rsidRPr="00BF7956" w:rsidRDefault="008937C3" w:rsidP="008937C3">
            <w:pPr>
              <w:jc w:val="both"/>
              <w:rPr>
                <w:sz w:val="20"/>
                <w:szCs w:val="20"/>
                <w:lang w:val="ro-RO"/>
              </w:rPr>
            </w:pPr>
          </w:p>
        </w:tc>
        <w:tc>
          <w:tcPr>
            <w:tcW w:w="992" w:type="dxa"/>
          </w:tcPr>
          <w:p w14:paraId="7EEA19A1" w14:textId="77777777" w:rsidR="008937C3" w:rsidRPr="00BF7956" w:rsidRDefault="008937C3" w:rsidP="008937C3">
            <w:pPr>
              <w:jc w:val="both"/>
              <w:rPr>
                <w:sz w:val="20"/>
                <w:szCs w:val="20"/>
                <w:lang w:val="ro-RO"/>
              </w:rPr>
            </w:pPr>
          </w:p>
        </w:tc>
      </w:tr>
      <w:tr w:rsidR="008937C3" w:rsidRPr="002C43F1" w14:paraId="1E14DD4C" w14:textId="77777777" w:rsidTr="00C25F84">
        <w:tc>
          <w:tcPr>
            <w:tcW w:w="4576" w:type="dxa"/>
          </w:tcPr>
          <w:p w14:paraId="61C695A1"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XVII </w:t>
            </w:r>
          </w:p>
          <w:p w14:paraId="1162730E" w14:textId="1A673182" w:rsidR="008937C3" w:rsidRPr="00BF7956" w:rsidRDefault="008937C3" w:rsidP="008937C3">
            <w:pPr>
              <w:pStyle w:val="CM4"/>
              <w:spacing w:before="60" w:after="60"/>
              <w:rPr>
                <w:i/>
                <w:iCs/>
                <w:color w:val="000000"/>
                <w:sz w:val="20"/>
                <w:szCs w:val="20"/>
              </w:rPr>
            </w:pPr>
            <w:r w:rsidRPr="00BF7956">
              <w:rPr>
                <w:b/>
                <w:bCs/>
                <w:color w:val="000000"/>
                <w:sz w:val="20"/>
                <w:szCs w:val="20"/>
              </w:rPr>
              <w:t>INSTRUCŢIUNI PENTRU RAPORTAREA PRIVIND GREVAREA CU SARCINI A ACTIVELOR</w:t>
            </w:r>
          </w:p>
        </w:tc>
        <w:tc>
          <w:tcPr>
            <w:tcW w:w="4536" w:type="dxa"/>
            <w:shd w:val="clear" w:color="auto" w:fill="auto"/>
          </w:tcPr>
          <w:p w14:paraId="08E489F9"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428DDD8A" w14:textId="18CCAE46"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5778C6EE"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4F748375" w14:textId="77777777" w:rsidR="008937C3" w:rsidRPr="00BF7956" w:rsidRDefault="008937C3" w:rsidP="008937C3">
            <w:pPr>
              <w:jc w:val="both"/>
              <w:rPr>
                <w:sz w:val="20"/>
                <w:szCs w:val="20"/>
                <w:lang w:val="ro-RO"/>
              </w:rPr>
            </w:pPr>
          </w:p>
        </w:tc>
        <w:tc>
          <w:tcPr>
            <w:tcW w:w="992" w:type="dxa"/>
          </w:tcPr>
          <w:p w14:paraId="43E40807" w14:textId="77777777" w:rsidR="008937C3" w:rsidRPr="00BF7956" w:rsidRDefault="008937C3" w:rsidP="008937C3">
            <w:pPr>
              <w:jc w:val="both"/>
              <w:rPr>
                <w:sz w:val="20"/>
                <w:szCs w:val="20"/>
                <w:lang w:val="ro-RO"/>
              </w:rPr>
            </w:pPr>
          </w:p>
        </w:tc>
      </w:tr>
      <w:tr w:rsidR="008937C3" w:rsidRPr="002C43F1" w14:paraId="468C5B5E" w14:textId="77777777" w:rsidTr="00C25F84">
        <w:tc>
          <w:tcPr>
            <w:tcW w:w="4576" w:type="dxa"/>
          </w:tcPr>
          <w:p w14:paraId="2ED1A5C1" w14:textId="5D946C27" w:rsidR="008937C3" w:rsidRPr="00BF7956" w:rsidRDefault="008937C3" w:rsidP="008937C3">
            <w:pPr>
              <w:pStyle w:val="CM4"/>
              <w:spacing w:before="60" w:after="60"/>
              <w:rPr>
                <w:i/>
                <w:iCs/>
                <w:color w:val="000000"/>
                <w:sz w:val="20"/>
                <w:szCs w:val="20"/>
              </w:rPr>
            </w:pPr>
            <w:r w:rsidRPr="00BF7956">
              <w:rPr>
                <w:i/>
                <w:iCs/>
                <w:color w:val="000000"/>
                <w:sz w:val="20"/>
                <w:szCs w:val="20"/>
              </w:rPr>
              <w:t>ANEXA XVIII</w:t>
            </w:r>
          </w:p>
          <w:p w14:paraId="51AD1CDA" w14:textId="3BD0A678" w:rsidR="008937C3" w:rsidRPr="00BF7956" w:rsidRDefault="008937C3" w:rsidP="008937C3">
            <w:pPr>
              <w:rPr>
                <w:sz w:val="20"/>
                <w:szCs w:val="20"/>
                <w:lang w:val="ro-MD" w:eastAsia="en-US"/>
              </w:rPr>
            </w:pPr>
            <w:r w:rsidRPr="00BF7956">
              <w:rPr>
                <w:b/>
                <w:bCs/>
                <w:color w:val="000000"/>
                <w:sz w:val="20"/>
                <w:szCs w:val="20"/>
              </w:rPr>
              <w:t>FORMULARE AMM</w:t>
            </w:r>
          </w:p>
        </w:tc>
        <w:tc>
          <w:tcPr>
            <w:tcW w:w="4536" w:type="dxa"/>
            <w:shd w:val="clear" w:color="auto" w:fill="auto"/>
          </w:tcPr>
          <w:p w14:paraId="7938A604"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0D45EAF5" w14:textId="774C4F2B"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4E536416"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70338AD6" w14:textId="77777777" w:rsidR="008937C3" w:rsidRPr="00BF7956" w:rsidRDefault="008937C3" w:rsidP="008937C3">
            <w:pPr>
              <w:jc w:val="both"/>
              <w:rPr>
                <w:sz w:val="20"/>
                <w:szCs w:val="20"/>
                <w:lang w:val="ro-RO"/>
              </w:rPr>
            </w:pPr>
          </w:p>
        </w:tc>
        <w:tc>
          <w:tcPr>
            <w:tcW w:w="992" w:type="dxa"/>
          </w:tcPr>
          <w:p w14:paraId="046234B3" w14:textId="77777777" w:rsidR="008937C3" w:rsidRPr="00BF7956" w:rsidRDefault="008937C3" w:rsidP="008937C3">
            <w:pPr>
              <w:jc w:val="both"/>
              <w:rPr>
                <w:sz w:val="20"/>
                <w:szCs w:val="20"/>
                <w:lang w:val="ro-RO"/>
              </w:rPr>
            </w:pPr>
          </w:p>
        </w:tc>
      </w:tr>
      <w:tr w:rsidR="008937C3" w:rsidRPr="002C43F1" w14:paraId="29B14AF3" w14:textId="77777777" w:rsidTr="00C25F84">
        <w:tc>
          <w:tcPr>
            <w:tcW w:w="4576" w:type="dxa"/>
          </w:tcPr>
          <w:p w14:paraId="408AB32F"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XIX </w:t>
            </w:r>
          </w:p>
          <w:p w14:paraId="26258EF1" w14:textId="2408F38F" w:rsidR="008937C3" w:rsidRPr="00BF7956" w:rsidRDefault="008937C3" w:rsidP="008937C3">
            <w:pPr>
              <w:pStyle w:val="CM4"/>
              <w:spacing w:before="60" w:after="60"/>
              <w:rPr>
                <w:i/>
                <w:iCs/>
                <w:color w:val="000000"/>
                <w:sz w:val="20"/>
                <w:szCs w:val="20"/>
              </w:rPr>
            </w:pPr>
            <w:r w:rsidRPr="00BF7956">
              <w:rPr>
                <w:b/>
                <w:bCs/>
                <w:color w:val="000000"/>
                <w:sz w:val="20"/>
                <w:szCs w:val="20"/>
              </w:rPr>
              <w:t>INSTRUCŢIUNI PENTRU RAPORTAREA CU PRIVIRE LA INDICATORII SUPLIMENTARI DE MONITORIZARE A LICHIDITĂŢII</w:t>
            </w:r>
          </w:p>
        </w:tc>
        <w:tc>
          <w:tcPr>
            <w:tcW w:w="4536" w:type="dxa"/>
            <w:shd w:val="clear" w:color="auto" w:fill="auto"/>
          </w:tcPr>
          <w:p w14:paraId="09E97F62"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5DC87F2F" w14:textId="2EDF8626"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6FC40AD5"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4EE088A3" w14:textId="77777777" w:rsidR="008937C3" w:rsidRPr="00BF7956" w:rsidRDefault="008937C3" w:rsidP="008937C3">
            <w:pPr>
              <w:jc w:val="both"/>
              <w:rPr>
                <w:sz w:val="20"/>
                <w:szCs w:val="20"/>
                <w:lang w:val="ro-RO"/>
              </w:rPr>
            </w:pPr>
          </w:p>
        </w:tc>
        <w:tc>
          <w:tcPr>
            <w:tcW w:w="992" w:type="dxa"/>
          </w:tcPr>
          <w:p w14:paraId="16E6A76A" w14:textId="77777777" w:rsidR="008937C3" w:rsidRPr="00BF7956" w:rsidRDefault="008937C3" w:rsidP="008937C3">
            <w:pPr>
              <w:jc w:val="both"/>
              <w:rPr>
                <w:sz w:val="20"/>
                <w:szCs w:val="20"/>
                <w:lang w:val="ro-RO"/>
              </w:rPr>
            </w:pPr>
          </w:p>
        </w:tc>
      </w:tr>
      <w:tr w:rsidR="008937C3" w:rsidRPr="002C43F1" w14:paraId="406D7FC9" w14:textId="77777777" w:rsidTr="00C25F84">
        <w:tc>
          <w:tcPr>
            <w:tcW w:w="4576" w:type="dxa"/>
          </w:tcPr>
          <w:p w14:paraId="0C3E50FE"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XX </w:t>
            </w:r>
          </w:p>
          <w:p w14:paraId="56C5B57C" w14:textId="4DB5D58C" w:rsidR="008937C3" w:rsidRPr="00BF7956" w:rsidRDefault="008937C3" w:rsidP="008937C3">
            <w:pPr>
              <w:pStyle w:val="CM4"/>
              <w:spacing w:before="60" w:after="60"/>
              <w:rPr>
                <w:i/>
                <w:iCs/>
                <w:color w:val="000000"/>
                <w:sz w:val="20"/>
                <w:szCs w:val="20"/>
              </w:rPr>
            </w:pPr>
            <w:r w:rsidRPr="00BF7956">
              <w:rPr>
                <w:b/>
                <w:bCs/>
                <w:color w:val="000000"/>
                <w:sz w:val="20"/>
                <w:szCs w:val="20"/>
              </w:rPr>
              <w:t>RAPORTARE PRIVIND CAPACITATEA DE COMPENSARE</w:t>
            </w:r>
          </w:p>
        </w:tc>
        <w:tc>
          <w:tcPr>
            <w:tcW w:w="4536" w:type="dxa"/>
            <w:shd w:val="clear" w:color="auto" w:fill="auto"/>
          </w:tcPr>
          <w:p w14:paraId="79D032CE"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433A0418" w14:textId="1CD41B6B"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23BBDEEB"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79639ACF" w14:textId="77777777" w:rsidR="008937C3" w:rsidRPr="00BF7956" w:rsidRDefault="008937C3" w:rsidP="008937C3">
            <w:pPr>
              <w:jc w:val="both"/>
              <w:rPr>
                <w:sz w:val="20"/>
                <w:szCs w:val="20"/>
                <w:lang w:val="ro-RO"/>
              </w:rPr>
            </w:pPr>
          </w:p>
        </w:tc>
        <w:tc>
          <w:tcPr>
            <w:tcW w:w="992" w:type="dxa"/>
          </w:tcPr>
          <w:p w14:paraId="7D36F54D" w14:textId="77777777" w:rsidR="008937C3" w:rsidRPr="00BF7956" w:rsidRDefault="008937C3" w:rsidP="008937C3">
            <w:pPr>
              <w:jc w:val="both"/>
              <w:rPr>
                <w:sz w:val="20"/>
                <w:szCs w:val="20"/>
                <w:lang w:val="ro-RO"/>
              </w:rPr>
            </w:pPr>
          </w:p>
        </w:tc>
      </w:tr>
      <w:tr w:rsidR="008937C3" w:rsidRPr="002C43F1" w14:paraId="766758BD" w14:textId="77777777" w:rsidTr="00C25F84">
        <w:tc>
          <w:tcPr>
            <w:tcW w:w="4576" w:type="dxa"/>
          </w:tcPr>
          <w:p w14:paraId="59EE449A"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XXI </w:t>
            </w:r>
          </w:p>
          <w:p w14:paraId="53CEF4DF" w14:textId="24CAA0E3" w:rsidR="008937C3" w:rsidRPr="00BF7956" w:rsidRDefault="008937C3" w:rsidP="008937C3">
            <w:pPr>
              <w:pStyle w:val="CM4"/>
              <w:spacing w:before="60" w:after="60"/>
              <w:rPr>
                <w:i/>
                <w:iCs/>
                <w:color w:val="000000"/>
                <w:sz w:val="20"/>
                <w:szCs w:val="20"/>
              </w:rPr>
            </w:pPr>
            <w:r w:rsidRPr="00BF7956">
              <w:rPr>
                <w:b/>
                <w:bCs/>
                <w:color w:val="000000"/>
                <w:sz w:val="20"/>
                <w:szCs w:val="20"/>
              </w:rPr>
              <w:lastRenderedPageBreak/>
              <w:t>INSTRUCŢIUNI PENTRU RAPORTAREA PRIVIND CONCENTRAREA CAPACITĂŢII DE COMPENSARE</w:t>
            </w:r>
          </w:p>
        </w:tc>
        <w:tc>
          <w:tcPr>
            <w:tcW w:w="4536" w:type="dxa"/>
            <w:shd w:val="clear" w:color="auto" w:fill="auto"/>
          </w:tcPr>
          <w:p w14:paraId="4594DFEF"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7B5FB441" w14:textId="3A661EEC" w:rsidR="008937C3" w:rsidRPr="00BF7956" w:rsidRDefault="008937C3" w:rsidP="008937C3">
            <w:pPr>
              <w:rPr>
                <w:b/>
                <w:strike/>
                <w:sz w:val="20"/>
                <w:szCs w:val="20"/>
                <w:lang w:val="ro-RO"/>
              </w:rPr>
            </w:pPr>
            <w:r w:rsidRPr="00BF7956">
              <w:rPr>
                <w:sz w:val="20"/>
                <w:szCs w:val="20"/>
                <w:lang w:val="ro-RO"/>
              </w:rPr>
              <w:t>Nu se transpune în prezentul proiect</w:t>
            </w:r>
          </w:p>
        </w:tc>
        <w:tc>
          <w:tcPr>
            <w:tcW w:w="2223" w:type="dxa"/>
          </w:tcPr>
          <w:p w14:paraId="2193190D"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2334CFE1" w14:textId="77777777" w:rsidR="008937C3" w:rsidRPr="00BF7956" w:rsidRDefault="008937C3" w:rsidP="008937C3">
            <w:pPr>
              <w:jc w:val="both"/>
              <w:rPr>
                <w:sz w:val="20"/>
                <w:szCs w:val="20"/>
                <w:lang w:val="ro-RO"/>
              </w:rPr>
            </w:pPr>
          </w:p>
        </w:tc>
        <w:tc>
          <w:tcPr>
            <w:tcW w:w="992" w:type="dxa"/>
          </w:tcPr>
          <w:p w14:paraId="3C17C181" w14:textId="77777777" w:rsidR="008937C3" w:rsidRPr="00BF7956" w:rsidRDefault="008937C3" w:rsidP="008937C3">
            <w:pPr>
              <w:jc w:val="both"/>
              <w:rPr>
                <w:sz w:val="20"/>
                <w:szCs w:val="20"/>
                <w:lang w:val="ro-RO"/>
              </w:rPr>
            </w:pPr>
          </w:p>
        </w:tc>
      </w:tr>
      <w:tr w:rsidR="008937C3" w:rsidRPr="002C43F1" w14:paraId="0BEC5D52" w14:textId="77777777" w:rsidTr="00C25F84">
        <w:tc>
          <w:tcPr>
            <w:tcW w:w="4576" w:type="dxa"/>
          </w:tcPr>
          <w:p w14:paraId="7E4CFE73" w14:textId="77777777" w:rsidR="008937C3" w:rsidRPr="00BF7956" w:rsidRDefault="008937C3" w:rsidP="008937C3">
            <w:pPr>
              <w:pStyle w:val="CM4"/>
              <w:spacing w:before="60" w:after="60"/>
              <w:rPr>
                <w:color w:val="000000"/>
                <w:sz w:val="20"/>
                <w:szCs w:val="20"/>
              </w:rPr>
            </w:pPr>
            <w:r w:rsidRPr="00BF7956">
              <w:rPr>
                <w:i/>
                <w:iCs/>
                <w:color w:val="000000"/>
                <w:sz w:val="20"/>
                <w:szCs w:val="20"/>
              </w:rPr>
              <w:t xml:space="preserve">ANEXA XXII </w:t>
            </w:r>
          </w:p>
          <w:p w14:paraId="5A9982A1" w14:textId="6ACA8B7E" w:rsidR="008937C3" w:rsidRPr="00BF7956" w:rsidRDefault="008937C3" w:rsidP="008937C3">
            <w:pPr>
              <w:pStyle w:val="CM4"/>
              <w:spacing w:before="60" w:after="60"/>
              <w:rPr>
                <w:i/>
                <w:iCs/>
                <w:color w:val="000000"/>
                <w:sz w:val="20"/>
                <w:szCs w:val="20"/>
              </w:rPr>
            </w:pPr>
            <w:r w:rsidRPr="00BF7956">
              <w:rPr>
                <w:b/>
                <w:bCs/>
                <w:color w:val="000000"/>
                <w:sz w:val="20"/>
                <w:szCs w:val="20"/>
              </w:rPr>
              <w:t>RAPORTAREA PRIVIND BENZILE DE SCADENŢĂ AMM</w:t>
            </w:r>
          </w:p>
        </w:tc>
        <w:tc>
          <w:tcPr>
            <w:tcW w:w="4536" w:type="dxa"/>
            <w:shd w:val="clear" w:color="auto" w:fill="auto"/>
          </w:tcPr>
          <w:p w14:paraId="4E35409D" w14:textId="77777777" w:rsidR="008937C3" w:rsidRPr="00BF7956" w:rsidRDefault="008937C3" w:rsidP="008937C3">
            <w:pPr>
              <w:autoSpaceDE w:val="0"/>
              <w:autoSpaceDN w:val="0"/>
              <w:adjustRightInd w:val="0"/>
              <w:spacing w:before="60" w:after="60"/>
              <w:jc w:val="center"/>
              <w:rPr>
                <w:color w:val="000000"/>
                <w:sz w:val="20"/>
                <w:szCs w:val="20"/>
                <w:lang w:val="ro-RO"/>
              </w:rPr>
            </w:pPr>
          </w:p>
        </w:tc>
        <w:tc>
          <w:tcPr>
            <w:tcW w:w="1418" w:type="dxa"/>
          </w:tcPr>
          <w:p w14:paraId="6BFCB6FA" w14:textId="77777777" w:rsidR="008937C3" w:rsidRPr="00BF7956" w:rsidRDefault="008937C3" w:rsidP="008937C3">
            <w:pPr>
              <w:rPr>
                <w:b/>
                <w:strike/>
                <w:sz w:val="20"/>
                <w:szCs w:val="20"/>
                <w:lang w:val="ro-RO"/>
              </w:rPr>
            </w:pPr>
          </w:p>
        </w:tc>
        <w:tc>
          <w:tcPr>
            <w:tcW w:w="2223" w:type="dxa"/>
          </w:tcPr>
          <w:p w14:paraId="59047CE5" w14:textId="77777777" w:rsidR="008937C3" w:rsidRPr="00BF7956" w:rsidRDefault="008937C3" w:rsidP="008937C3">
            <w:pPr>
              <w:jc w:val="both"/>
              <w:rPr>
                <w:sz w:val="20"/>
                <w:szCs w:val="20"/>
                <w:lang w:val="ro-RO"/>
              </w:rPr>
            </w:pPr>
          </w:p>
        </w:tc>
        <w:tc>
          <w:tcPr>
            <w:tcW w:w="1134" w:type="dxa"/>
            <w:tcBorders>
              <w:top w:val="single" w:sz="4" w:space="0" w:color="auto"/>
              <w:bottom w:val="single" w:sz="4" w:space="0" w:color="auto"/>
            </w:tcBorders>
          </w:tcPr>
          <w:p w14:paraId="1C384292" w14:textId="77777777" w:rsidR="008937C3" w:rsidRPr="00BF7956" w:rsidRDefault="008937C3" w:rsidP="008937C3">
            <w:pPr>
              <w:jc w:val="both"/>
              <w:rPr>
                <w:sz w:val="20"/>
                <w:szCs w:val="20"/>
                <w:lang w:val="ro-RO"/>
              </w:rPr>
            </w:pPr>
          </w:p>
        </w:tc>
        <w:tc>
          <w:tcPr>
            <w:tcW w:w="992" w:type="dxa"/>
          </w:tcPr>
          <w:p w14:paraId="355EABAA" w14:textId="77777777" w:rsidR="008937C3" w:rsidRPr="00BF7956" w:rsidRDefault="008937C3" w:rsidP="008937C3">
            <w:pPr>
              <w:jc w:val="both"/>
              <w:rPr>
                <w:sz w:val="20"/>
                <w:szCs w:val="20"/>
                <w:lang w:val="ro-RO"/>
              </w:rPr>
            </w:pPr>
          </w:p>
        </w:tc>
      </w:tr>
      <w:tr w:rsidR="00BE26C3" w:rsidRPr="00BF7956" w14:paraId="0C774E2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304C50" w:rsidRPr="00BF7956" w14:paraId="78DA842C" w14:textId="77777777" w:rsidTr="00304C50">
              <w:tc>
                <w:tcPr>
                  <w:tcW w:w="712" w:type="dxa"/>
                </w:tcPr>
                <w:p w14:paraId="3B95B078" w14:textId="03C8BF1D"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Rând</w:t>
                  </w:r>
                </w:p>
              </w:tc>
              <w:tc>
                <w:tcPr>
                  <w:tcW w:w="559" w:type="dxa"/>
                </w:tcPr>
                <w:p w14:paraId="789FC56E" w14:textId="475861AC"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ID</w:t>
                  </w:r>
                </w:p>
              </w:tc>
              <w:tc>
                <w:tcPr>
                  <w:tcW w:w="2979" w:type="dxa"/>
                </w:tcPr>
                <w:p w14:paraId="24660500" w14:textId="24A7EEC9"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Element</w:t>
                  </w:r>
                </w:p>
              </w:tc>
            </w:tr>
            <w:tr w:rsidR="00304C50" w:rsidRPr="00BF7956" w14:paraId="3453E27A" w14:textId="77777777" w:rsidTr="00304C50">
              <w:trPr>
                <w:trHeight w:val="634"/>
              </w:trPr>
              <w:tc>
                <w:tcPr>
                  <w:tcW w:w="712" w:type="dxa"/>
                </w:tcPr>
                <w:p w14:paraId="720D8E82" w14:textId="42FD0A0D"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0</w:t>
                  </w:r>
                  <w:r w:rsidR="008E3BA7" w:rsidRPr="00BF7956">
                    <w:rPr>
                      <w:sz w:val="20"/>
                      <w:szCs w:val="20"/>
                    </w:rPr>
                    <w:t>0</w:t>
                  </w:r>
                  <w:r w:rsidRPr="00BF7956">
                    <w:rPr>
                      <w:sz w:val="20"/>
                      <w:szCs w:val="20"/>
                    </w:rPr>
                    <w:t>10-</w:t>
                  </w:r>
                  <w:r w:rsidR="008E3BA7" w:rsidRPr="00BF7956">
                    <w:rPr>
                      <w:sz w:val="20"/>
                      <w:szCs w:val="20"/>
                    </w:rPr>
                    <w:t>0</w:t>
                  </w:r>
                  <w:r w:rsidRPr="00BF7956">
                    <w:rPr>
                      <w:sz w:val="20"/>
                      <w:szCs w:val="20"/>
                    </w:rPr>
                    <w:t>380</w:t>
                  </w:r>
                </w:p>
              </w:tc>
              <w:tc>
                <w:tcPr>
                  <w:tcW w:w="559" w:type="dxa"/>
                </w:tcPr>
                <w:p w14:paraId="0D20FB41" w14:textId="042706F0"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1</w:t>
                  </w:r>
                </w:p>
              </w:tc>
              <w:tc>
                <w:tcPr>
                  <w:tcW w:w="2979" w:type="dxa"/>
                </w:tcPr>
                <w:p w14:paraId="4553A0FD" w14:textId="6841C70E"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IEȘIRI</w:t>
                  </w:r>
                </w:p>
              </w:tc>
            </w:tr>
            <w:tr w:rsidR="00304C50" w:rsidRPr="002C43F1" w14:paraId="00C5312E" w14:textId="77777777" w:rsidTr="00304C50">
              <w:tc>
                <w:tcPr>
                  <w:tcW w:w="712" w:type="dxa"/>
                </w:tcPr>
                <w:p w14:paraId="112430A0" w14:textId="4840E52B"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0</w:t>
                  </w:r>
                  <w:r w:rsidR="008E3BA7" w:rsidRPr="00BF7956">
                    <w:rPr>
                      <w:sz w:val="20"/>
                      <w:szCs w:val="20"/>
                    </w:rPr>
                    <w:t>0</w:t>
                  </w:r>
                  <w:r w:rsidRPr="00BF7956">
                    <w:rPr>
                      <w:sz w:val="20"/>
                      <w:szCs w:val="20"/>
                    </w:rPr>
                    <w:t>10</w:t>
                  </w:r>
                </w:p>
              </w:tc>
              <w:tc>
                <w:tcPr>
                  <w:tcW w:w="559" w:type="dxa"/>
                </w:tcPr>
                <w:p w14:paraId="346A167C" w14:textId="239E73B2"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1.1</w:t>
                  </w:r>
                </w:p>
              </w:tc>
              <w:tc>
                <w:tcPr>
                  <w:tcW w:w="2979" w:type="dxa"/>
                </w:tcPr>
                <w:p w14:paraId="64ED5AE7" w14:textId="10C93441" w:rsidR="00304C50" w:rsidRPr="00BF7956" w:rsidRDefault="00304C50" w:rsidP="00304C50">
                  <w:pPr>
                    <w:pStyle w:val="CM4"/>
                    <w:framePr w:hSpace="180" w:wrap="around" w:vAnchor="text" w:hAnchor="margin" w:y="137"/>
                    <w:spacing w:before="60" w:after="60"/>
                    <w:rPr>
                      <w:i/>
                      <w:iCs/>
                      <w:color w:val="000000"/>
                      <w:sz w:val="20"/>
                      <w:szCs w:val="20"/>
                      <w:lang w:val="it-IT"/>
                    </w:rPr>
                  </w:pPr>
                  <w:r w:rsidRPr="00BF7956">
                    <w:rPr>
                      <w:sz w:val="20"/>
                      <w:szCs w:val="20"/>
                    </w:rPr>
                    <w:t xml:space="preserve">Datorii rezultate din titluri de valoare emise (dacă nu sunt tratate ca depozite retail) </w:t>
                  </w:r>
                </w:p>
              </w:tc>
            </w:tr>
          </w:tbl>
          <w:p w14:paraId="675322AA" w14:textId="77777777" w:rsidR="00BE26C3" w:rsidRPr="00BF7956" w:rsidRDefault="00BE26C3" w:rsidP="008937C3">
            <w:pPr>
              <w:pStyle w:val="CM4"/>
              <w:spacing w:before="60" w:after="60"/>
              <w:rPr>
                <w:i/>
                <w:iCs/>
                <w:color w:val="000000"/>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304C50" w:rsidRPr="00BF7956" w14:paraId="39AA7839" w14:textId="77777777" w:rsidTr="00E05820">
              <w:tc>
                <w:tcPr>
                  <w:tcW w:w="712" w:type="dxa"/>
                </w:tcPr>
                <w:p w14:paraId="05F0FFAD" w14:textId="77777777"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Rând</w:t>
                  </w:r>
                </w:p>
              </w:tc>
              <w:tc>
                <w:tcPr>
                  <w:tcW w:w="559" w:type="dxa"/>
                </w:tcPr>
                <w:p w14:paraId="098D383D" w14:textId="77777777"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ID</w:t>
                  </w:r>
                </w:p>
              </w:tc>
              <w:tc>
                <w:tcPr>
                  <w:tcW w:w="2979" w:type="dxa"/>
                </w:tcPr>
                <w:p w14:paraId="09B32BF8" w14:textId="77777777"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Element</w:t>
                  </w:r>
                </w:p>
              </w:tc>
            </w:tr>
            <w:tr w:rsidR="00304C50" w:rsidRPr="00BF7956" w14:paraId="5771F47E" w14:textId="77777777" w:rsidTr="00E05820">
              <w:trPr>
                <w:trHeight w:val="634"/>
              </w:trPr>
              <w:tc>
                <w:tcPr>
                  <w:tcW w:w="712" w:type="dxa"/>
                </w:tcPr>
                <w:p w14:paraId="5BD30636" w14:textId="133655E1"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0</w:t>
                  </w:r>
                  <w:r w:rsidR="008E3BA7" w:rsidRPr="00BF7956">
                    <w:rPr>
                      <w:sz w:val="20"/>
                      <w:szCs w:val="20"/>
                    </w:rPr>
                    <w:t>0</w:t>
                  </w:r>
                  <w:r w:rsidRPr="00BF7956">
                    <w:rPr>
                      <w:sz w:val="20"/>
                      <w:szCs w:val="20"/>
                    </w:rPr>
                    <w:t>10-</w:t>
                  </w:r>
                  <w:r w:rsidR="008E3BA7" w:rsidRPr="00BF7956">
                    <w:rPr>
                      <w:sz w:val="20"/>
                      <w:szCs w:val="20"/>
                    </w:rPr>
                    <w:t>0</w:t>
                  </w:r>
                  <w:r w:rsidRPr="00BF7956">
                    <w:rPr>
                      <w:sz w:val="20"/>
                      <w:szCs w:val="20"/>
                    </w:rPr>
                    <w:t>380</w:t>
                  </w:r>
                </w:p>
              </w:tc>
              <w:tc>
                <w:tcPr>
                  <w:tcW w:w="559" w:type="dxa"/>
                </w:tcPr>
                <w:p w14:paraId="49A227D9" w14:textId="77777777"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1</w:t>
                  </w:r>
                </w:p>
              </w:tc>
              <w:tc>
                <w:tcPr>
                  <w:tcW w:w="2979" w:type="dxa"/>
                </w:tcPr>
                <w:p w14:paraId="6CDF8EB0" w14:textId="77777777"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IEȘIRI</w:t>
                  </w:r>
                </w:p>
              </w:tc>
            </w:tr>
            <w:tr w:rsidR="00304C50" w:rsidRPr="002C43F1" w14:paraId="06608C41" w14:textId="77777777" w:rsidTr="00E05820">
              <w:tc>
                <w:tcPr>
                  <w:tcW w:w="712" w:type="dxa"/>
                </w:tcPr>
                <w:p w14:paraId="49BD57AB" w14:textId="3E34022E"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0</w:t>
                  </w:r>
                  <w:r w:rsidR="008E3BA7" w:rsidRPr="00BF7956">
                    <w:rPr>
                      <w:sz w:val="20"/>
                      <w:szCs w:val="20"/>
                    </w:rPr>
                    <w:t>0</w:t>
                  </w:r>
                  <w:r w:rsidRPr="00BF7956">
                    <w:rPr>
                      <w:sz w:val="20"/>
                      <w:szCs w:val="20"/>
                    </w:rPr>
                    <w:t>10</w:t>
                  </w:r>
                </w:p>
              </w:tc>
              <w:tc>
                <w:tcPr>
                  <w:tcW w:w="559" w:type="dxa"/>
                </w:tcPr>
                <w:p w14:paraId="7FD92969" w14:textId="77777777" w:rsidR="00304C50" w:rsidRPr="00BF7956" w:rsidRDefault="00304C50" w:rsidP="00304C50">
                  <w:pPr>
                    <w:pStyle w:val="CM4"/>
                    <w:framePr w:hSpace="180" w:wrap="around" w:vAnchor="text" w:hAnchor="margin" w:y="137"/>
                    <w:spacing w:before="60" w:after="60"/>
                    <w:rPr>
                      <w:i/>
                      <w:iCs/>
                      <w:color w:val="000000"/>
                      <w:sz w:val="20"/>
                      <w:szCs w:val="20"/>
                      <w:lang w:val="en-US"/>
                    </w:rPr>
                  </w:pPr>
                  <w:r w:rsidRPr="00BF7956">
                    <w:rPr>
                      <w:sz w:val="20"/>
                      <w:szCs w:val="20"/>
                    </w:rPr>
                    <w:t>1.1</w:t>
                  </w:r>
                </w:p>
              </w:tc>
              <w:tc>
                <w:tcPr>
                  <w:tcW w:w="2979" w:type="dxa"/>
                </w:tcPr>
                <w:p w14:paraId="4916AFBC" w14:textId="77777777" w:rsidR="00304C50" w:rsidRPr="00BF7956" w:rsidRDefault="00304C50" w:rsidP="00304C50">
                  <w:pPr>
                    <w:pStyle w:val="CM4"/>
                    <w:framePr w:hSpace="180" w:wrap="around" w:vAnchor="text" w:hAnchor="margin" w:y="137"/>
                    <w:spacing w:before="60" w:after="60"/>
                    <w:rPr>
                      <w:i/>
                      <w:iCs/>
                      <w:color w:val="000000"/>
                      <w:sz w:val="20"/>
                      <w:szCs w:val="20"/>
                      <w:lang w:val="it-IT"/>
                    </w:rPr>
                  </w:pPr>
                  <w:r w:rsidRPr="00BF7956">
                    <w:rPr>
                      <w:sz w:val="20"/>
                      <w:szCs w:val="20"/>
                    </w:rPr>
                    <w:t xml:space="preserve">Datorii rezultate din titluri de valoare emise (dacă nu sunt tratate ca depozite retail) </w:t>
                  </w:r>
                </w:p>
              </w:tc>
            </w:tr>
          </w:tbl>
          <w:p w14:paraId="7B65C964" w14:textId="77777777" w:rsidR="00BE26C3" w:rsidRPr="00BF7956" w:rsidRDefault="00BE26C3" w:rsidP="008937C3">
            <w:pPr>
              <w:autoSpaceDE w:val="0"/>
              <w:autoSpaceDN w:val="0"/>
              <w:adjustRightInd w:val="0"/>
              <w:spacing w:before="60" w:after="60"/>
              <w:jc w:val="center"/>
              <w:rPr>
                <w:color w:val="000000"/>
                <w:sz w:val="20"/>
                <w:szCs w:val="20"/>
                <w:lang w:val="it-IT"/>
              </w:rPr>
            </w:pPr>
          </w:p>
        </w:tc>
        <w:tc>
          <w:tcPr>
            <w:tcW w:w="1418" w:type="dxa"/>
          </w:tcPr>
          <w:p w14:paraId="0AEC0847" w14:textId="44E70ED0" w:rsidR="00BE26C3" w:rsidRPr="00BF7956" w:rsidRDefault="00304C50" w:rsidP="008937C3">
            <w:pPr>
              <w:rPr>
                <w:bCs/>
                <w:sz w:val="20"/>
                <w:szCs w:val="20"/>
                <w:lang w:val="ro-RO"/>
              </w:rPr>
            </w:pPr>
            <w:r w:rsidRPr="00BF7956">
              <w:rPr>
                <w:bCs/>
                <w:sz w:val="20"/>
                <w:szCs w:val="20"/>
                <w:lang w:val="ro-RO"/>
              </w:rPr>
              <w:t>Compatibil</w:t>
            </w:r>
          </w:p>
        </w:tc>
        <w:tc>
          <w:tcPr>
            <w:tcW w:w="2223" w:type="dxa"/>
          </w:tcPr>
          <w:p w14:paraId="1C064484" w14:textId="77777777" w:rsidR="00BE26C3" w:rsidRPr="00BF7956" w:rsidRDefault="00BE26C3" w:rsidP="008937C3">
            <w:pPr>
              <w:jc w:val="both"/>
              <w:rPr>
                <w:sz w:val="20"/>
                <w:szCs w:val="20"/>
                <w:lang w:val="ro-RO"/>
              </w:rPr>
            </w:pPr>
          </w:p>
        </w:tc>
        <w:tc>
          <w:tcPr>
            <w:tcW w:w="1134" w:type="dxa"/>
            <w:tcBorders>
              <w:top w:val="single" w:sz="4" w:space="0" w:color="auto"/>
              <w:bottom w:val="single" w:sz="4" w:space="0" w:color="auto"/>
            </w:tcBorders>
          </w:tcPr>
          <w:p w14:paraId="377F42B0" w14:textId="77777777" w:rsidR="00BE26C3" w:rsidRPr="00BF7956" w:rsidRDefault="00BE26C3" w:rsidP="008937C3">
            <w:pPr>
              <w:jc w:val="both"/>
              <w:rPr>
                <w:sz w:val="20"/>
                <w:szCs w:val="20"/>
                <w:lang w:val="ro-RO"/>
              </w:rPr>
            </w:pPr>
          </w:p>
        </w:tc>
        <w:tc>
          <w:tcPr>
            <w:tcW w:w="992" w:type="dxa"/>
          </w:tcPr>
          <w:p w14:paraId="282E1F66" w14:textId="77777777" w:rsidR="00BE26C3" w:rsidRPr="00BF7956" w:rsidRDefault="00BE26C3" w:rsidP="008937C3">
            <w:pPr>
              <w:jc w:val="both"/>
              <w:rPr>
                <w:sz w:val="20"/>
                <w:szCs w:val="20"/>
                <w:lang w:val="ro-RO"/>
              </w:rPr>
            </w:pPr>
          </w:p>
        </w:tc>
      </w:tr>
      <w:tr w:rsidR="008E3BA7" w:rsidRPr="002C43F1" w14:paraId="0B5BFD9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D6AE84D" w14:textId="77777777" w:rsidTr="00C63E97">
              <w:tc>
                <w:tcPr>
                  <w:tcW w:w="712" w:type="dxa"/>
                </w:tcPr>
                <w:p w14:paraId="02BD9DB9" w14:textId="0B7F06D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0011</w:t>
                  </w:r>
                </w:p>
              </w:tc>
              <w:tc>
                <w:tcPr>
                  <w:tcW w:w="559" w:type="dxa"/>
                </w:tcPr>
                <w:p w14:paraId="3F587FF3" w14:textId="4A28887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1.1.0.1</w:t>
                  </w:r>
                </w:p>
              </w:tc>
              <w:tc>
                <w:tcPr>
                  <w:tcW w:w="2979" w:type="dxa"/>
                </w:tcPr>
                <w:p w14:paraId="41315A88" w14:textId="7E5062F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1C417984"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70CB342" w14:textId="77777777" w:rsidTr="00C63E97">
              <w:tc>
                <w:tcPr>
                  <w:tcW w:w="712" w:type="dxa"/>
                </w:tcPr>
                <w:p w14:paraId="3085C30A" w14:textId="249921B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0011</w:t>
                  </w:r>
                </w:p>
              </w:tc>
              <w:tc>
                <w:tcPr>
                  <w:tcW w:w="559" w:type="dxa"/>
                </w:tcPr>
                <w:p w14:paraId="16981FC4" w14:textId="496B6CC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1.1.0.1</w:t>
                  </w:r>
                </w:p>
              </w:tc>
              <w:tc>
                <w:tcPr>
                  <w:tcW w:w="2979" w:type="dxa"/>
                </w:tcPr>
                <w:p w14:paraId="65076077" w14:textId="0F3812C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16DF8A48" w14:textId="77777777" w:rsidR="008E3BA7" w:rsidRPr="00BF7956" w:rsidRDefault="008E3BA7" w:rsidP="008E3BA7">
            <w:pPr>
              <w:pStyle w:val="CM4"/>
              <w:spacing w:before="60" w:after="60"/>
              <w:rPr>
                <w:sz w:val="20"/>
                <w:szCs w:val="20"/>
              </w:rPr>
            </w:pPr>
          </w:p>
        </w:tc>
        <w:tc>
          <w:tcPr>
            <w:tcW w:w="1418" w:type="dxa"/>
          </w:tcPr>
          <w:p w14:paraId="18C8B105" w14:textId="755424F1" w:rsidR="008E3BA7" w:rsidRPr="00BF7956" w:rsidRDefault="008E3BA7" w:rsidP="008E3BA7">
            <w:pPr>
              <w:rPr>
                <w:bCs/>
                <w:sz w:val="20"/>
                <w:szCs w:val="20"/>
                <w:lang w:val="ro-RO"/>
              </w:rPr>
            </w:pPr>
            <w:r w:rsidRPr="00BF7956">
              <w:rPr>
                <w:bCs/>
                <w:sz w:val="20"/>
                <w:szCs w:val="20"/>
                <w:lang w:val="ro-RO"/>
              </w:rPr>
              <w:t>Necompatibil</w:t>
            </w:r>
          </w:p>
        </w:tc>
        <w:tc>
          <w:tcPr>
            <w:tcW w:w="2223" w:type="dxa"/>
          </w:tcPr>
          <w:p w14:paraId="663BBD85" w14:textId="2E2E50A5" w:rsidR="008E3BA7" w:rsidRPr="00BF7956" w:rsidRDefault="008E3BA7" w:rsidP="008E3BA7">
            <w:pPr>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1CE273B5" w14:textId="77777777" w:rsidR="008E3BA7" w:rsidRPr="00BF7956" w:rsidRDefault="008E3BA7" w:rsidP="008E3BA7">
            <w:pPr>
              <w:jc w:val="both"/>
              <w:rPr>
                <w:sz w:val="20"/>
                <w:szCs w:val="20"/>
                <w:lang w:val="ro-RO"/>
              </w:rPr>
            </w:pPr>
          </w:p>
        </w:tc>
        <w:tc>
          <w:tcPr>
            <w:tcW w:w="992" w:type="dxa"/>
          </w:tcPr>
          <w:p w14:paraId="367D98CF" w14:textId="77777777" w:rsidR="008E3BA7" w:rsidRPr="00BF7956" w:rsidRDefault="008E3BA7" w:rsidP="008E3BA7">
            <w:pPr>
              <w:jc w:val="both"/>
              <w:rPr>
                <w:sz w:val="20"/>
                <w:szCs w:val="20"/>
                <w:lang w:val="ro-RO"/>
              </w:rPr>
            </w:pPr>
          </w:p>
        </w:tc>
      </w:tr>
      <w:tr w:rsidR="008E3BA7" w:rsidRPr="00BF7956" w14:paraId="3F8E7C3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AD65511" w14:textId="77777777" w:rsidTr="00304C50">
              <w:tc>
                <w:tcPr>
                  <w:tcW w:w="712" w:type="dxa"/>
                </w:tcPr>
                <w:p w14:paraId="6F543D58" w14:textId="4D5A2FE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0020</w:t>
                  </w:r>
                </w:p>
              </w:tc>
              <w:tc>
                <w:tcPr>
                  <w:tcW w:w="559" w:type="dxa"/>
                </w:tcPr>
                <w:p w14:paraId="0DC24AF0" w14:textId="1D79DC4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1.1.1</w:t>
                  </w:r>
                </w:p>
              </w:tc>
              <w:tc>
                <w:tcPr>
                  <w:tcW w:w="2979" w:type="dxa"/>
                </w:tcPr>
                <w:p w14:paraId="71C1974D" w14:textId="6704417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negarantate scadente</w:t>
                  </w:r>
                </w:p>
              </w:tc>
            </w:tr>
          </w:tbl>
          <w:p w14:paraId="307B5D16"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99241C6" w14:textId="77777777" w:rsidTr="00E05820">
              <w:tc>
                <w:tcPr>
                  <w:tcW w:w="712" w:type="dxa"/>
                </w:tcPr>
                <w:p w14:paraId="51C2E44D" w14:textId="06A8DA1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0020</w:t>
                  </w:r>
                </w:p>
              </w:tc>
              <w:tc>
                <w:tcPr>
                  <w:tcW w:w="559" w:type="dxa"/>
                </w:tcPr>
                <w:p w14:paraId="3CBD426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1.1.1</w:t>
                  </w:r>
                </w:p>
              </w:tc>
              <w:tc>
                <w:tcPr>
                  <w:tcW w:w="2979" w:type="dxa"/>
                </w:tcPr>
                <w:p w14:paraId="43A8460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negarantate scadente</w:t>
                  </w:r>
                </w:p>
              </w:tc>
            </w:tr>
          </w:tbl>
          <w:p w14:paraId="07AEE698"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BD10146" w14:textId="37DECCB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C2AD32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1F2D776" w14:textId="77777777" w:rsidR="008E3BA7" w:rsidRPr="00BF7956" w:rsidRDefault="008E3BA7" w:rsidP="008E3BA7">
            <w:pPr>
              <w:jc w:val="both"/>
              <w:rPr>
                <w:sz w:val="20"/>
                <w:szCs w:val="20"/>
                <w:lang w:val="ro-RO"/>
              </w:rPr>
            </w:pPr>
          </w:p>
        </w:tc>
        <w:tc>
          <w:tcPr>
            <w:tcW w:w="992" w:type="dxa"/>
          </w:tcPr>
          <w:p w14:paraId="2C407327" w14:textId="77777777" w:rsidR="008E3BA7" w:rsidRPr="00BF7956" w:rsidRDefault="008E3BA7" w:rsidP="008E3BA7">
            <w:pPr>
              <w:jc w:val="both"/>
              <w:rPr>
                <w:sz w:val="20"/>
                <w:szCs w:val="20"/>
                <w:lang w:val="ro-RO"/>
              </w:rPr>
            </w:pPr>
          </w:p>
        </w:tc>
      </w:tr>
      <w:tr w:rsidR="008E3BA7" w:rsidRPr="002C43F1" w14:paraId="3AC79A4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553BA98" w14:textId="77777777" w:rsidTr="00E05820">
              <w:tc>
                <w:tcPr>
                  <w:tcW w:w="712" w:type="dxa"/>
                </w:tcPr>
                <w:p w14:paraId="355B4FC5" w14:textId="2EDD117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0030</w:t>
                  </w:r>
                </w:p>
              </w:tc>
              <w:tc>
                <w:tcPr>
                  <w:tcW w:w="559" w:type="dxa"/>
                </w:tcPr>
                <w:p w14:paraId="0B100B84" w14:textId="5BE1CEE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1.1.2</w:t>
                  </w:r>
                </w:p>
              </w:tc>
              <w:tc>
                <w:tcPr>
                  <w:tcW w:w="2979" w:type="dxa"/>
                </w:tcPr>
                <w:p w14:paraId="01967D5B" w14:textId="67239ED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reglementate</w:t>
                  </w:r>
                </w:p>
              </w:tc>
            </w:tr>
          </w:tbl>
          <w:p w14:paraId="0789FC98"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6889A79" w14:textId="77777777" w:rsidTr="00E05820">
              <w:tc>
                <w:tcPr>
                  <w:tcW w:w="712" w:type="dxa"/>
                </w:tcPr>
                <w:p w14:paraId="0A21CD98" w14:textId="171ED61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0030</w:t>
                  </w:r>
                </w:p>
              </w:tc>
              <w:tc>
                <w:tcPr>
                  <w:tcW w:w="559" w:type="dxa"/>
                </w:tcPr>
                <w:p w14:paraId="4DD8E828" w14:textId="1F316A5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1.1.2</w:t>
                  </w:r>
                </w:p>
              </w:tc>
              <w:tc>
                <w:tcPr>
                  <w:tcW w:w="2979" w:type="dxa"/>
                </w:tcPr>
                <w:p w14:paraId="154F1941" w14:textId="7D558E2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Obligaţiuni garantate reglementate</w:t>
                  </w:r>
                </w:p>
              </w:tc>
            </w:tr>
          </w:tbl>
          <w:p w14:paraId="53ABFE4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847BAD3" w14:textId="42D90637"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42D6E4E1" w14:textId="1DADFB7B"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4917565E" w14:textId="77777777" w:rsidR="008E3BA7" w:rsidRPr="00BF7956" w:rsidRDefault="008E3BA7" w:rsidP="008E3BA7">
            <w:pPr>
              <w:jc w:val="both"/>
              <w:rPr>
                <w:sz w:val="20"/>
                <w:szCs w:val="20"/>
                <w:lang w:val="ro-RO"/>
              </w:rPr>
            </w:pPr>
          </w:p>
        </w:tc>
        <w:tc>
          <w:tcPr>
            <w:tcW w:w="992" w:type="dxa"/>
          </w:tcPr>
          <w:p w14:paraId="1F592AB1" w14:textId="77777777" w:rsidR="008E3BA7" w:rsidRPr="00BF7956" w:rsidRDefault="008E3BA7" w:rsidP="008E3BA7">
            <w:pPr>
              <w:jc w:val="both"/>
              <w:rPr>
                <w:sz w:val="20"/>
                <w:szCs w:val="20"/>
                <w:lang w:val="ro-RO"/>
              </w:rPr>
            </w:pPr>
          </w:p>
        </w:tc>
      </w:tr>
      <w:tr w:rsidR="008E3BA7" w:rsidRPr="002C43F1" w14:paraId="77A6CCC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5142BBF" w14:textId="77777777" w:rsidTr="00E05820">
              <w:tc>
                <w:tcPr>
                  <w:tcW w:w="712" w:type="dxa"/>
                </w:tcPr>
                <w:p w14:paraId="678BB63E" w14:textId="3FFE561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lastRenderedPageBreak/>
                    <w:t>0040</w:t>
                  </w:r>
                </w:p>
              </w:tc>
              <w:tc>
                <w:tcPr>
                  <w:tcW w:w="559" w:type="dxa"/>
                </w:tcPr>
                <w:p w14:paraId="75DB5671" w14:textId="5354B44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1.1.3</w:t>
                  </w:r>
                </w:p>
              </w:tc>
              <w:tc>
                <w:tcPr>
                  <w:tcW w:w="2979" w:type="dxa"/>
                </w:tcPr>
                <w:p w14:paraId="7A9018CB" w14:textId="3E3DA95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Securitizări scadente</w:t>
                  </w:r>
                </w:p>
              </w:tc>
            </w:tr>
          </w:tbl>
          <w:p w14:paraId="22D4C77E"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C9DB62A" w14:textId="77777777" w:rsidTr="00E05820">
              <w:tc>
                <w:tcPr>
                  <w:tcW w:w="712" w:type="dxa"/>
                </w:tcPr>
                <w:p w14:paraId="6AA6631B" w14:textId="58FAB3C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0040</w:t>
                  </w:r>
                </w:p>
              </w:tc>
              <w:tc>
                <w:tcPr>
                  <w:tcW w:w="559" w:type="dxa"/>
                </w:tcPr>
                <w:p w14:paraId="0C35051D" w14:textId="4D40176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1.1.3</w:t>
                  </w:r>
                </w:p>
              </w:tc>
              <w:tc>
                <w:tcPr>
                  <w:tcW w:w="2979" w:type="dxa"/>
                </w:tcPr>
                <w:p w14:paraId="6911D823" w14:textId="6CB8180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Securitizări scadente</w:t>
                  </w:r>
                </w:p>
              </w:tc>
            </w:tr>
          </w:tbl>
          <w:p w14:paraId="57F5F0A8"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111E4C9A" w14:textId="45C4C7CB"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526D752E" w14:textId="25D422DC" w:rsidR="008E3BA7" w:rsidRPr="00BF7956" w:rsidRDefault="008E3BA7" w:rsidP="008E3BA7">
            <w:pPr>
              <w:rPr>
                <w:sz w:val="20"/>
                <w:szCs w:val="20"/>
                <w:lang w:val="ro-RO"/>
              </w:rPr>
            </w:pPr>
            <w:r w:rsidRPr="00BF7956">
              <w:rPr>
                <w:sz w:val="20"/>
                <w:szCs w:val="20"/>
                <w:lang w:val="ro-RO"/>
              </w:rPr>
              <w:t>Prevederile aferente securitizărilor nu au fost transpuse, deoarece aceste instrumente</w:t>
            </w:r>
            <w:r w:rsidRPr="00BF7956">
              <w:rPr>
                <w:rFonts w:eastAsia="Calibri"/>
                <w:sz w:val="20"/>
                <w:szCs w:val="20"/>
                <w:lang w:val="ro-RO" w:eastAsia="en-US"/>
              </w:rPr>
              <w:t>, în prezent la nivelul Republicii Moldova nu sunt reglementate de cadrul primar aferent desfășurării acestor operațiuni, elaborarea căruia este de competența CNPF.</w:t>
            </w:r>
            <w:r w:rsidRPr="00BF7956">
              <w:rPr>
                <w:sz w:val="20"/>
                <w:szCs w:val="20"/>
                <w:lang w:val="ro-RO"/>
              </w:rPr>
              <w:t xml:space="preserve"> </w:t>
            </w:r>
          </w:p>
        </w:tc>
        <w:tc>
          <w:tcPr>
            <w:tcW w:w="1134" w:type="dxa"/>
            <w:tcBorders>
              <w:top w:val="single" w:sz="4" w:space="0" w:color="auto"/>
              <w:bottom w:val="single" w:sz="4" w:space="0" w:color="auto"/>
            </w:tcBorders>
          </w:tcPr>
          <w:p w14:paraId="4C353941" w14:textId="77777777" w:rsidR="008E3BA7" w:rsidRPr="00BF7956" w:rsidRDefault="008E3BA7" w:rsidP="008E3BA7">
            <w:pPr>
              <w:jc w:val="both"/>
              <w:rPr>
                <w:sz w:val="20"/>
                <w:szCs w:val="20"/>
                <w:lang w:val="ro-RO"/>
              </w:rPr>
            </w:pPr>
          </w:p>
        </w:tc>
        <w:tc>
          <w:tcPr>
            <w:tcW w:w="992" w:type="dxa"/>
          </w:tcPr>
          <w:p w14:paraId="30E260C2" w14:textId="77777777" w:rsidR="008E3BA7" w:rsidRPr="00BF7956" w:rsidRDefault="008E3BA7" w:rsidP="008E3BA7">
            <w:pPr>
              <w:jc w:val="both"/>
              <w:rPr>
                <w:sz w:val="20"/>
                <w:szCs w:val="20"/>
                <w:lang w:val="ro-RO"/>
              </w:rPr>
            </w:pPr>
          </w:p>
        </w:tc>
      </w:tr>
      <w:tr w:rsidR="008E3BA7" w:rsidRPr="00BF7956" w14:paraId="0A3634F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57E2AD0" w14:textId="77777777" w:rsidTr="00E05820">
              <w:tc>
                <w:tcPr>
                  <w:tcW w:w="712" w:type="dxa"/>
                </w:tcPr>
                <w:p w14:paraId="5C0535C3" w14:textId="475CEFE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0050</w:t>
                  </w:r>
                </w:p>
              </w:tc>
              <w:tc>
                <w:tcPr>
                  <w:tcW w:w="559" w:type="dxa"/>
                </w:tcPr>
                <w:p w14:paraId="4EEC612A" w14:textId="6F435E3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1.1.4</w:t>
                  </w:r>
                </w:p>
              </w:tc>
              <w:tc>
                <w:tcPr>
                  <w:tcW w:w="2979" w:type="dxa"/>
                </w:tcPr>
                <w:p w14:paraId="5D58749A" w14:textId="6BE6AD9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Altele</w:t>
                  </w:r>
                </w:p>
              </w:tc>
            </w:tr>
          </w:tbl>
          <w:p w14:paraId="772A347A"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092FFA1" w14:textId="77777777" w:rsidTr="00E05820">
              <w:tc>
                <w:tcPr>
                  <w:tcW w:w="712" w:type="dxa"/>
                </w:tcPr>
                <w:p w14:paraId="35B59912" w14:textId="666C72F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0050</w:t>
                  </w:r>
                </w:p>
              </w:tc>
              <w:tc>
                <w:tcPr>
                  <w:tcW w:w="559" w:type="dxa"/>
                </w:tcPr>
                <w:p w14:paraId="12BE1E3C" w14:textId="1E655CF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1.1.4</w:t>
                  </w:r>
                </w:p>
              </w:tc>
              <w:tc>
                <w:tcPr>
                  <w:tcW w:w="2979" w:type="dxa"/>
                </w:tcPr>
                <w:p w14:paraId="229A9D58" w14:textId="1AB13B3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Altele</w:t>
                  </w:r>
                </w:p>
              </w:tc>
            </w:tr>
          </w:tbl>
          <w:p w14:paraId="292C2EF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1F13BE16" w14:textId="19771B2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370167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E1B20E9" w14:textId="77777777" w:rsidR="008E3BA7" w:rsidRPr="00BF7956" w:rsidRDefault="008E3BA7" w:rsidP="008E3BA7">
            <w:pPr>
              <w:jc w:val="both"/>
              <w:rPr>
                <w:sz w:val="20"/>
                <w:szCs w:val="20"/>
                <w:lang w:val="ro-RO"/>
              </w:rPr>
            </w:pPr>
          </w:p>
        </w:tc>
        <w:tc>
          <w:tcPr>
            <w:tcW w:w="992" w:type="dxa"/>
          </w:tcPr>
          <w:p w14:paraId="41CA5546" w14:textId="77777777" w:rsidR="008E3BA7" w:rsidRPr="00BF7956" w:rsidRDefault="008E3BA7" w:rsidP="008E3BA7">
            <w:pPr>
              <w:jc w:val="both"/>
              <w:rPr>
                <w:sz w:val="20"/>
                <w:szCs w:val="20"/>
                <w:lang w:val="ro-RO"/>
              </w:rPr>
            </w:pPr>
          </w:p>
        </w:tc>
      </w:tr>
      <w:tr w:rsidR="008E3BA7" w:rsidRPr="00BF7956" w14:paraId="4054D83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14D2442" w14:textId="77777777" w:rsidTr="000A7220">
              <w:tc>
                <w:tcPr>
                  <w:tcW w:w="712" w:type="dxa"/>
                  <w:tcBorders>
                    <w:top w:val="outset" w:sz="6" w:space="0" w:color="auto"/>
                    <w:left w:val="outset" w:sz="6" w:space="0" w:color="auto"/>
                    <w:bottom w:val="outset" w:sz="6" w:space="0" w:color="auto"/>
                    <w:right w:val="outset" w:sz="6" w:space="0" w:color="auto"/>
                  </w:tcBorders>
                  <w:shd w:val="clear" w:color="auto" w:fill="auto"/>
                </w:tcPr>
                <w:p w14:paraId="541C6CB0" w14:textId="718BA3A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0065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182898E" w14:textId="69220F6C"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7E402D2" w14:textId="7E46E1A1"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Datorii rezultate din tranzacții de creditare garantată și operațiuni ajustate la condițiile pieței de capital garantate cu:</w:t>
                  </w:r>
                </w:p>
              </w:tc>
            </w:tr>
          </w:tbl>
          <w:p w14:paraId="495A8E95"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36862AF" w14:textId="77777777" w:rsidTr="00E05820">
              <w:tc>
                <w:tcPr>
                  <w:tcW w:w="712" w:type="dxa"/>
                </w:tcPr>
                <w:p w14:paraId="0CCAE70A" w14:textId="42270B3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0065</w:t>
                  </w:r>
                </w:p>
              </w:tc>
              <w:tc>
                <w:tcPr>
                  <w:tcW w:w="559" w:type="dxa"/>
                </w:tcPr>
                <w:p w14:paraId="5F0E1B7C" w14:textId="18EC18DE"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1.2</w:t>
                  </w:r>
                </w:p>
              </w:tc>
              <w:tc>
                <w:tcPr>
                  <w:tcW w:w="2979" w:type="dxa"/>
                </w:tcPr>
                <w:p w14:paraId="3B414E5F" w14:textId="09FC35E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Datorii rezultate din tranzacții de creditare garantată și operațiuni ajustate la condițiile pieței de capital garantate cu:</w:t>
                  </w:r>
                </w:p>
              </w:tc>
            </w:tr>
          </w:tbl>
          <w:p w14:paraId="321CD6B4"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17657270" w14:textId="7E14A3E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9E3EB4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7C52223" w14:textId="77777777" w:rsidR="008E3BA7" w:rsidRPr="00BF7956" w:rsidRDefault="008E3BA7" w:rsidP="008E3BA7">
            <w:pPr>
              <w:jc w:val="both"/>
              <w:rPr>
                <w:sz w:val="20"/>
                <w:szCs w:val="20"/>
                <w:lang w:val="ro-RO"/>
              </w:rPr>
            </w:pPr>
          </w:p>
        </w:tc>
        <w:tc>
          <w:tcPr>
            <w:tcW w:w="992" w:type="dxa"/>
          </w:tcPr>
          <w:p w14:paraId="50BB666A" w14:textId="77777777" w:rsidR="008E3BA7" w:rsidRPr="00BF7956" w:rsidRDefault="008E3BA7" w:rsidP="008E3BA7">
            <w:pPr>
              <w:jc w:val="both"/>
              <w:rPr>
                <w:sz w:val="20"/>
                <w:szCs w:val="20"/>
                <w:lang w:val="ro-RO"/>
              </w:rPr>
            </w:pPr>
          </w:p>
        </w:tc>
      </w:tr>
      <w:tr w:rsidR="008E3BA7" w:rsidRPr="002C43F1" w14:paraId="0C4AA61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9B6CF4A" w14:textId="77777777" w:rsidTr="00C63E97">
              <w:tc>
                <w:tcPr>
                  <w:tcW w:w="712" w:type="dxa"/>
                </w:tcPr>
                <w:p w14:paraId="2BE6C9A4" w14:textId="0C7760B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0066</w:t>
                  </w:r>
                </w:p>
              </w:tc>
              <w:tc>
                <w:tcPr>
                  <w:tcW w:w="559" w:type="dxa"/>
                </w:tcPr>
                <w:p w14:paraId="4FD26BF9" w14:textId="38C21A8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1.2.0.1</w:t>
                  </w:r>
                </w:p>
              </w:tc>
              <w:tc>
                <w:tcPr>
                  <w:tcW w:w="2979" w:type="dxa"/>
                </w:tcPr>
                <w:p w14:paraId="56850FA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54FA6B0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2325FAB" w14:textId="77777777" w:rsidTr="00C63E97">
              <w:tc>
                <w:tcPr>
                  <w:tcW w:w="712" w:type="dxa"/>
                </w:tcPr>
                <w:p w14:paraId="6098F6A6" w14:textId="502E3A7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0066</w:t>
                  </w:r>
                </w:p>
              </w:tc>
              <w:tc>
                <w:tcPr>
                  <w:tcW w:w="559" w:type="dxa"/>
                </w:tcPr>
                <w:p w14:paraId="673B2973" w14:textId="2482451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1.2.0.1</w:t>
                  </w:r>
                </w:p>
              </w:tc>
              <w:tc>
                <w:tcPr>
                  <w:tcW w:w="2979" w:type="dxa"/>
                </w:tcPr>
                <w:p w14:paraId="63B2173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25EA070D" w14:textId="77777777" w:rsidR="008E3BA7" w:rsidRPr="00BF7956" w:rsidRDefault="008E3BA7" w:rsidP="008E3BA7">
            <w:pPr>
              <w:pStyle w:val="CM4"/>
              <w:spacing w:before="60" w:after="60"/>
              <w:rPr>
                <w:sz w:val="20"/>
                <w:szCs w:val="20"/>
                <w:lang w:val="en-US"/>
              </w:rPr>
            </w:pPr>
          </w:p>
        </w:tc>
        <w:tc>
          <w:tcPr>
            <w:tcW w:w="1418" w:type="dxa"/>
          </w:tcPr>
          <w:p w14:paraId="1E1D4714" w14:textId="6CA49D48" w:rsidR="008E3BA7" w:rsidRPr="00BF7956" w:rsidRDefault="008E3BA7" w:rsidP="008E3BA7">
            <w:pPr>
              <w:rPr>
                <w:bCs/>
                <w:sz w:val="20"/>
                <w:szCs w:val="20"/>
                <w:lang w:val="ro-RO"/>
              </w:rPr>
            </w:pPr>
            <w:r w:rsidRPr="00BF7956">
              <w:rPr>
                <w:bCs/>
                <w:sz w:val="20"/>
                <w:szCs w:val="20"/>
                <w:lang w:val="ro-RO"/>
              </w:rPr>
              <w:t>Necompatibil</w:t>
            </w:r>
          </w:p>
        </w:tc>
        <w:tc>
          <w:tcPr>
            <w:tcW w:w="2223" w:type="dxa"/>
          </w:tcPr>
          <w:p w14:paraId="643C9D6F" w14:textId="0232D04A" w:rsidR="008E3BA7" w:rsidRPr="00BF7956" w:rsidRDefault="008E3BA7" w:rsidP="008E3BA7">
            <w:pPr>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04709CFF" w14:textId="77777777" w:rsidR="008E3BA7" w:rsidRPr="00BF7956" w:rsidRDefault="008E3BA7" w:rsidP="008E3BA7">
            <w:pPr>
              <w:jc w:val="both"/>
              <w:rPr>
                <w:sz w:val="20"/>
                <w:szCs w:val="20"/>
                <w:lang w:val="ro-RO"/>
              </w:rPr>
            </w:pPr>
          </w:p>
        </w:tc>
        <w:tc>
          <w:tcPr>
            <w:tcW w:w="992" w:type="dxa"/>
          </w:tcPr>
          <w:p w14:paraId="6F4384CD" w14:textId="77777777" w:rsidR="008E3BA7" w:rsidRPr="00BF7956" w:rsidRDefault="008E3BA7" w:rsidP="008E3BA7">
            <w:pPr>
              <w:jc w:val="both"/>
              <w:rPr>
                <w:sz w:val="20"/>
                <w:szCs w:val="20"/>
                <w:lang w:val="ro-RO"/>
              </w:rPr>
            </w:pPr>
          </w:p>
        </w:tc>
      </w:tr>
      <w:tr w:rsidR="008E3BA7" w:rsidRPr="00BF7956" w14:paraId="2D15D32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388BD77" w14:textId="77777777" w:rsidTr="00E05820">
              <w:tc>
                <w:tcPr>
                  <w:tcW w:w="712" w:type="dxa"/>
                </w:tcPr>
                <w:p w14:paraId="7C2EFE98" w14:textId="34217FA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0075</w:t>
                  </w:r>
                </w:p>
              </w:tc>
              <w:tc>
                <w:tcPr>
                  <w:tcW w:w="559" w:type="dxa"/>
                </w:tcPr>
                <w:p w14:paraId="31EA0F72" w14:textId="2C3F183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w:t>
                  </w:r>
                </w:p>
              </w:tc>
              <w:tc>
                <w:tcPr>
                  <w:tcW w:w="2979" w:type="dxa"/>
                </w:tcPr>
                <w:p w14:paraId="7B5F5690" w14:textId="626C0DAA" w:rsidR="008E3BA7" w:rsidRPr="00BF7956" w:rsidRDefault="008E3BA7" w:rsidP="008E3BA7">
                  <w:pPr>
                    <w:pStyle w:val="CM4"/>
                    <w:framePr w:hSpace="180" w:wrap="around" w:vAnchor="text" w:hAnchor="margin" w:y="137"/>
                    <w:spacing w:before="60" w:after="60"/>
                    <w:rPr>
                      <w:i/>
                      <w:iCs/>
                      <w:color w:val="000000"/>
                      <w:sz w:val="20"/>
                      <w:szCs w:val="20"/>
                    </w:rPr>
                  </w:pPr>
                  <w:bookmarkStart w:id="2" w:name="_Hlk138844903"/>
                  <w:r w:rsidRPr="00BF7956">
                    <w:rPr>
                      <w:sz w:val="20"/>
                      <w:szCs w:val="20"/>
                    </w:rPr>
                    <w:t>Active tranzacționabile de nivel 1</w:t>
                  </w:r>
                  <w:bookmarkEnd w:id="2"/>
                </w:p>
              </w:tc>
            </w:tr>
          </w:tbl>
          <w:p w14:paraId="1204C47E"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982F9C0" w14:textId="77777777" w:rsidTr="00E05820">
              <w:tc>
                <w:tcPr>
                  <w:tcW w:w="712" w:type="dxa"/>
                </w:tcPr>
                <w:p w14:paraId="6A06ACBE" w14:textId="39AC0D5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0075</w:t>
                  </w:r>
                </w:p>
              </w:tc>
              <w:tc>
                <w:tcPr>
                  <w:tcW w:w="559" w:type="dxa"/>
                </w:tcPr>
                <w:p w14:paraId="1D1DE74B" w14:textId="1FA8D53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w:t>
                  </w:r>
                </w:p>
              </w:tc>
              <w:tc>
                <w:tcPr>
                  <w:tcW w:w="2979" w:type="dxa"/>
                </w:tcPr>
                <w:p w14:paraId="1F3EDBCD" w14:textId="6997D93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5BF2DBC1"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EE56DFB" w14:textId="7510E97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2B8FB1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D868BEF" w14:textId="77777777" w:rsidR="008E3BA7" w:rsidRPr="00BF7956" w:rsidRDefault="008E3BA7" w:rsidP="008E3BA7">
            <w:pPr>
              <w:jc w:val="both"/>
              <w:rPr>
                <w:sz w:val="20"/>
                <w:szCs w:val="20"/>
                <w:lang w:val="ro-RO"/>
              </w:rPr>
            </w:pPr>
          </w:p>
        </w:tc>
        <w:tc>
          <w:tcPr>
            <w:tcW w:w="992" w:type="dxa"/>
          </w:tcPr>
          <w:p w14:paraId="0DB32818" w14:textId="77777777" w:rsidR="008E3BA7" w:rsidRPr="00BF7956" w:rsidRDefault="008E3BA7" w:rsidP="008E3BA7">
            <w:pPr>
              <w:jc w:val="both"/>
              <w:rPr>
                <w:sz w:val="20"/>
                <w:szCs w:val="20"/>
                <w:lang w:val="ro-RO"/>
              </w:rPr>
            </w:pPr>
          </w:p>
        </w:tc>
      </w:tr>
      <w:tr w:rsidR="008E3BA7" w:rsidRPr="00BF7956" w14:paraId="6BB61C4C"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99B564B" w14:textId="77777777" w:rsidTr="00777E4E">
              <w:tc>
                <w:tcPr>
                  <w:tcW w:w="712" w:type="dxa"/>
                  <w:tcBorders>
                    <w:top w:val="outset" w:sz="6" w:space="0" w:color="auto"/>
                    <w:left w:val="outset" w:sz="6" w:space="0" w:color="auto"/>
                    <w:bottom w:val="outset" w:sz="6" w:space="0" w:color="auto"/>
                    <w:right w:val="outset" w:sz="6" w:space="0" w:color="auto"/>
                  </w:tcBorders>
                  <w:shd w:val="clear" w:color="auto" w:fill="auto"/>
                </w:tcPr>
                <w:p w14:paraId="64088393" w14:textId="4F4E73D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0085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5AC7FF6" w14:textId="0D390A5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5B5C6E0" w14:textId="4541947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exceptând obligațiunile garantate</w:t>
                  </w:r>
                </w:p>
              </w:tc>
            </w:tr>
          </w:tbl>
          <w:p w14:paraId="52013E37"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EA8FEDE" w14:textId="77777777" w:rsidTr="009D1826">
              <w:tc>
                <w:tcPr>
                  <w:tcW w:w="712" w:type="dxa"/>
                  <w:tcBorders>
                    <w:top w:val="outset" w:sz="6" w:space="0" w:color="auto"/>
                    <w:left w:val="outset" w:sz="6" w:space="0" w:color="auto"/>
                    <w:bottom w:val="outset" w:sz="6" w:space="0" w:color="auto"/>
                    <w:right w:val="outset" w:sz="6" w:space="0" w:color="auto"/>
                  </w:tcBorders>
                  <w:shd w:val="clear" w:color="auto" w:fill="auto"/>
                </w:tcPr>
                <w:p w14:paraId="0E475259" w14:textId="48EC63B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0085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12ED00F" w14:textId="5BA39AE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BF0C456" w14:textId="36C86CE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exceptând obligațiunile garantate</w:t>
                  </w:r>
                </w:p>
              </w:tc>
            </w:tr>
          </w:tbl>
          <w:p w14:paraId="14BCAB8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50D5B4C" w14:textId="0A0534A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C7432C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0CBB5CE" w14:textId="77777777" w:rsidR="008E3BA7" w:rsidRPr="00BF7956" w:rsidRDefault="008E3BA7" w:rsidP="008E3BA7">
            <w:pPr>
              <w:jc w:val="both"/>
              <w:rPr>
                <w:sz w:val="20"/>
                <w:szCs w:val="20"/>
                <w:lang w:val="ro-RO"/>
              </w:rPr>
            </w:pPr>
          </w:p>
        </w:tc>
        <w:tc>
          <w:tcPr>
            <w:tcW w:w="992" w:type="dxa"/>
          </w:tcPr>
          <w:p w14:paraId="020A99AC" w14:textId="77777777" w:rsidR="008E3BA7" w:rsidRPr="00BF7956" w:rsidRDefault="008E3BA7" w:rsidP="008E3BA7">
            <w:pPr>
              <w:jc w:val="both"/>
              <w:rPr>
                <w:sz w:val="20"/>
                <w:szCs w:val="20"/>
                <w:lang w:val="ro-RO"/>
              </w:rPr>
            </w:pPr>
          </w:p>
        </w:tc>
      </w:tr>
      <w:tr w:rsidR="008E3BA7" w:rsidRPr="00BF7956" w14:paraId="699795E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5A169E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2260E8F" w14:textId="1EF4842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0095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909534C" w14:textId="59A1F58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5CD7228" w14:textId="4725623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aferente băncilor centrale</w:t>
                  </w:r>
                </w:p>
              </w:tc>
            </w:tr>
          </w:tbl>
          <w:p w14:paraId="723B0CC5" w14:textId="77777777" w:rsidR="008E3BA7" w:rsidRPr="00BF7956" w:rsidRDefault="008E3BA7" w:rsidP="008E3BA7">
            <w:pPr>
              <w:pStyle w:val="CM4"/>
              <w:spacing w:before="60" w:after="60"/>
              <w:rPr>
                <w:i/>
                <w:iCs/>
                <w:color w:val="000000"/>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4048A3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1720122" w14:textId="0A9C947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0095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DA22BF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17DD94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aferente băncilor centrale</w:t>
                  </w:r>
                </w:p>
              </w:tc>
            </w:tr>
          </w:tbl>
          <w:p w14:paraId="5E65DFBE"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054577BC" w14:textId="113D746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50F168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EDF16F9" w14:textId="77777777" w:rsidR="008E3BA7" w:rsidRPr="00BF7956" w:rsidRDefault="008E3BA7" w:rsidP="008E3BA7">
            <w:pPr>
              <w:jc w:val="both"/>
              <w:rPr>
                <w:sz w:val="20"/>
                <w:szCs w:val="20"/>
                <w:lang w:val="ro-RO"/>
              </w:rPr>
            </w:pPr>
          </w:p>
        </w:tc>
        <w:tc>
          <w:tcPr>
            <w:tcW w:w="992" w:type="dxa"/>
          </w:tcPr>
          <w:p w14:paraId="0F812C92" w14:textId="77777777" w:rsidR="008E3BA7" w:rsidRPr="00BF7956" w:rsidRDefault="008E3BA7" w:rsidP="008E3BA7">
            <w:pPr>
              <w:jc w:val="both"/>
              <w:rPr>
                <w:sz w:val="20"/>
                <w:szCs w:val="20"/>
                <w:lang w:val="ro-RO"/>
              </w:rPr>
            </w:pPr>
          </w:p>
        </w:tc>
      </w:tr>
      <w:tr w:rsidR="008E3BA7" w:rsidRPr="00BF7956" w14:paraId="09F0E0A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D1DFA0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C69C3F9" w14:textId="01ED0C2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0105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090129C" w14:textId="2C21046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226948F" w14:textId="34FD356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 1)</w:t>
                  </w:r>
                </w:p>
              </w:tc>
            </w:tr>
          </w:tbl>
          <w:p w14:paraId="6EB62F0B" w14:textId="77777777" w:rsidR="008E3BA7" w:rsidRPr="00BF7956" w:rsidRDefault="008E3BA7" w:rsidP="008E3BA7">
            <w:pPr>
              <w:pStyle w:val="CM4"/>
              <w:spacing w:before="60" w:after="60"/>
              <w:rPr>
                <w:i/>
                <w:iCs/>
                <w:color w:val="000000"/>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FA8701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FEFE11B" w14:textId="1F7A60F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0105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09BD60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56F735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 1)</w:t>
                  </w:r>
                </w:p>
              </w:tc>
            </w:tr>
          </w:tbl>
          <w:p w14:paraId="5E37AFD5"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19615B84" w14:textId="78516CC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700A85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F465C07" w14:textId="77777777" w:rsidR="008E3BA7" w:rsidRPr="00BF7956" w:rsidRDefault="008E3BA7" w:rsidP="008E3BA7">
            <w:pPr>
              <w:jc w:val="both"/>
              <w:rPr>
                <w:sz w:val="20"/>
                <w:szCs w:val="20"/>
                <w:lang w:val="ro-RO"/>
              </w:rPr>
            </w:pPr>
          </w:p>
        </w:tc>
        <w:tc>
          <w:tcPr>
            <w:tcW w:w="992" w:type="dxa"/>
          </w:tcPr>
          <w:p w14:paraId="49457D9E" w14:textId="77777777" w:rsidR="008E3BA7" w:rsidRPr="00BF7956" w:rsidRDefault="008E3BA7" w:rsidP="008E3BA7">
            <w:pPr>
              <w:jc w:val="both"/>
              <w:rPr>
                <w:sz w:val="20"/>
                <w:szCs w:val="20"/>
                <w:lang w:val="ro-RO"/>
              </w:rPr>
            </w:pPr>
          </w:p>
        </w:tc>
      </w:tr>
      <w:tr w:rsidR="008E3BA7" w:rsidRPr="00BF7956" w14:paraId="153D0CB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233795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20DE035" w14:textId="1C6EB26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lastRenderedPageBreak/>
                    <w:t>0115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95F2489" w14:textId="7ADF2C9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20984AB" w14:textId="2DE7357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(CQS2, CQS3)</w:t>
                  </w:r>
                </w:p>
              </w:tc>
            </w:tr>
          </w:tbl>
          <w:p w14:paraId="154DB8BA"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7BE57E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D4655C2" w14:textId="08E7602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0115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E54C00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458A4F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(CQS2, CQS3)</w:t>
                  </w:r>
                </w:p>
              </w:tc>
            </w:tr>
          </w:tbl>
          <w:p w14:paraId="61B47E60"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64611BAA" w14:textId="3A08CFE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C6F2D1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0218726" w14:textId="77777777" w:rsidR="008E3BA7" w:rsidRPr="00BF7956" w:rsidRDefault="008E3BA7" w:rsidP="008E3BA7">
            <w:pPr>
              <w:jc w:val="both"/>
              <w:rPr>
                <w:sz w:val="20"/>
                <w:szCs w:val="20"/>
                <w:lang w:val="ro-RO"/>
              </w:rPr>
            </w:pPr>
          </w:p>
        </w:tc>
        <w:tc>
          <w:tcPr>
            <w:tcW w:w="992" w:type="dxa"/>
          </w:tcPr>
          <w:p w14:paraId="314A94D9" w14:textId="77777777" w:rsidR="008E3BA7" w:rsidRPr="00BF7956" w:rsidRDefault="008E3BA7" w:rsidP="008E3BA7">
            <w:pPr>
              <w:jc w:val="both"/>
              <w:rPr>
                <w:sz w:val="20"/>
                <w:szCs w:val="20"/>
                <w:lang w:val="ro-RO"/>
              </w:rPr>
            </w:pPr>
          </w:p>
        </w:tc>
      </w:tr>
      <w:tr w:rsidR="008E3BA7" w:rsidRPr="00BF7956" w14:paraId="7DC0C1E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6CEEE9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BC33462" w14:textId="778245E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0125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ABD6068" w14:textId="4E458AB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E28303A" w14:textId="0E725AE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(CQS4+)</w:t>
                  </w:r>
                </w:p>
              </w:tc>
            </w:tr>
          </w:tbl>
          <w:p w14:paraId="0025B0EF"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22522A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B4B1A3C" w14:textId="1861103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0125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B3A58C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86C69D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(CQS4+)</w:t>
                  </w:r>
                </w:p>
              </w:tc>
            </w:tr>
          </w:tbl>
          <w:p w14:paraId="41016C6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EA9AD39" w14:textId="009CA0C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E67563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D62AAFB" w14:textId="77777777" w:rsidR="008E3BA7" w:rsidRPr="00BF7956" w:rsidRDefault="008E3BA7" w:rsidP="008E3BA7">
            <w:pPr>
              <w:jc w:val="both"/>
              <w:rPr>
                <w:sz w:val="20"/>
                <w:szCs w:val="20"/>
                <w:lang w:val="ro-RO"/>
              </w:rPr>
            </w:pPr>
          </w:p>
        </w:tc>
        <w:tc>
          <w:tcPr>
            <w:tcW w:w="992" w:type="dxa"/>
          </w:tcPr>
          <w:p w14:paraId="2D4651E6" w14:textId="77777777" w:rsidR="008E3BA7" w:rsidRPr="00BF7956" w:rsidRDefault="008E3BA7" w:rsidP="008E3BA7">
            <w:pPr>
              <w:jc w:val="both"/>
              <w:rPr>
                <w:sz w:val="20"/>
                <w:szCs w:val="20"/>
                <w:lang w:val="ro-RO"/>
              </w:rPr>
            </w:pPr>
          </w:p>
        </w:tc>
      </w:tr>
      <w:tr w:rsidR="008E3BA7" w:rsidRPr="002C43F1" w14:paraId="769014BF"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0DBCD4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BA52386" w14:textId="214D35E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0135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950BCBF" w14:textId="2A950FE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965C8F8" w14:textId="20595F0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1 (CQS 1)</w:t>
                  </w:r>
                </w:p>
              </w:tc>
            </w:tr>
          </w:tbl>
          <w:p w14:paraId="67D56E3B" w14:textId="77777777" w:rsidR="008E3BA7" w:rsidRPr="00BF7956" w:rsidRDefault="008E3BA7" w:rsidP="008E3BA7">
            <w:pPr>
              <w:pStyle w:val="CM4"/>
              <w:spacing w:before="60" w:after="60"/>
              <w:rPr>
                <w:i/>
                <w:iCs/>
                <w:color w:val="000000"/>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4E1CA4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25AAB7A" w14:textId="7A7D2A1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0135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B71290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F3FFD3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1 (CQS 1)</w:t>
                  </w:r>
                </w:p>
              </w:tc>
            </w:tr>
          </w:tbl>
          <w:p w14:paraId="01F2B54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72181EB" w14:textId="1C9BF33F"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3B81EA64" w14:textId="49601D7C"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w:t>
            </w:r>
            <w:r w:rsidRPr="00BF7956">
              <w:rPr>
                <w:sz w:val="20"/>
                <w:szCs w:val="20"/>
                <w:lang w:val="ro-RO"/>
              </w:rPr>
              <w:t xml:space="preserve"> </w:t>
            </w:r>
            <w:r w:rsidRPr="00BF7956">
              <w:rPr>
                <w:rFonts w:eastAsia="Calibri"/>
                <w:sz w:val="20"/>
                <w:szCs w:val="20"/>
                <w:lang w:val="ro-RO" w:eastAsia="en-US"/>
              </w:rPr>
              <w:t xml:space="preserve">obligațiunile garantate, în prezent la nivelul Republicii Moldova nu sunt reglementate de cadrul primar aferent desfășurării acestor operațiuni, elaborarea căruia este de competența CNPF. </w:t>
            </w:r>
          </w:p>
        </w:tc>
        <w:tc>
          <w:tcPr>
            <w:tcW w:w="1134" w:type="dxa"/>
            <w:tcBorders>
              <w:top w:val="single" w:sz="4" w:space="0" w:color="auto"/>
              <w:bottom w:val="single" w:sz="4" w:space="0" w:color="auto"/>
            </w:tcBorders>
          </w:tcPr>
          <w:p w14:paraId="0209DCE4" w14:textId="77777777" w:rsidR="008E3BA7" w:rsidRPr="00BF7956" w:rsidRDefault="008E3BA7" w:rsidP="008E3BA7">
            <w:pPr>
              <w:jc w:val="both"/>
              <w:rPr>
                <w:sz w:val="20"/>
                <w:szCs w:val="20"/>
                <w:lang w:val="ro-RO"/>
              </w:rPr>
            </w:pPr>
          </w:p>
        </w:tc>
        <w:tc>
          <w:tcPr>
            <w:tcW w:w="992" w:type="dxa"/>
          </w:tcPr>
          <w:p w14:paraId="4F6BD325" w14:textId="77777777" w:rsidR="008E3BA7" w:rsidRPr="00BF7956" w:rsidRDefault="008E3BA7" w:rsidP="008E3BA7">
            <w:pPr>
              <w:jc w:val="both"/>
              <w:rPr>
                <w:sz w:val="20"/>
                <w:szCs w:val="20"/>
                <w:lang w:val="ro-RO"/>
              </w:rPr>
            </w:pPr>
          </w:p>
        </w:tc>
      </w:tr>
      <w:tr w:rsidR="008E3BA7" w:rsidRPr="00BF7956" w14:paraId="2A1A9DF0"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A88713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B5EE7F3" w14:textId="34A2D82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0145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2F50FDF" w14:textId="6AC98A9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E6EC501" w14:textId="5F9FDCE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2A</w:t>
                  </w:r>
                </w:p>
              </w:tc>
            </w:tr>
          </w:tbl>
          <w:p w14:paraId="051758A5" w14:textId="77777777" w:rsidR="008E3BA7" w:rsidRPr="00BF7956" w:rsidRDefault="008E3BA7" w:rsidP="008E3BA7">
            <w:pPr>
              <w:pStyle w:val="CM4"/>
              <w:spacing w:before="60" w:after="60"/>
              <w:rPr>
                <w:i/>
                <w:iCs/>
                <w:color w:val="000000"/>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86B25E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5DCA161" w14:textId="35D2CFC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0145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C27E09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0E0500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2A</w:t>
                  </w:r>
                </w:p>
              </w:tc>
            </w:tr>
          </w:tbl>
          <w:p w14:paraId="6BB05275"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66584C43" w14:textId="5B92DC0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472869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8A36B43" w14:textId="77777777" w:rsidR="008E3BA7" w:rsidRPr="00BF7956" w:rsidRDefault="008E3BA7" w:rsidP="008E3BA7">
            <w:pPr>
              <w:jc w:val="both"/>
              <w:rPr>
                <w:sz w:val="20"/>
                <w:szCs w:val="20"/>
                <w:lang w:val="ro-RO"/>
              </w:rPr>
            </w:pPr>
          </w:p>
        </w:tc>
        <w:tc>
          <w:tcPr>
            <w:tcW w:w="992" w:type="dxa"/>
          </w:tcPr>
          <w:p w14:paraId="5056B996" w14:textId="77777777" w:rsidR="008E3BA7" w:rsidRPr="00BF7956" w:rsidRDefault="008E3BA7" w:rsidP="008E3BA7">
            <w:pPr>
              <w:jc w:val="both"/>
              <w:rPr>
                <w:sz w:val="20"/>
                <w:szCs w:val="20"/>
                <w:lang w:val="ro-RO"/>
              </w:rPr>
            </w:pPr>
          </w:p>
        </w:tc>
      </w:tr>
      <w:tr w:rsidR="008E3BA7" w:rsidRPr="00BF7956" w14:paraId="00956D4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E7D4B5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F6BE0C8" w14:textId="75693DD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0155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89B5363" w14:textId="7A924BA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DAEB30" w14:textId="4A644FB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2A (CQS1)</w:t>
                  </w:r>
                </w:p>
              </w:tc>
            </w:tr>
          </w:tbl>
          <w:p w14:paraId="216B8620" w14:textId="77777777" w:rsidR="008E3BA7" w:rsidRPr="00BF7956" w:rsidRDefault="008E3BA7" w:rsidP="008E3BA7">
            <w:pPr>
              <w:pStyle w:val="CM4"/>
              <w:spacing w:before="60" w:after="60"/>
              <w:rPr>
                <w:i/>
                <w:iCs/>
                <w:color w:val="000000"/>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92961A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1CE7F13" w14:textId="596A53D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0155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9EDBF6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0D5123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2A (CQS1)</w:t>
                  </w:r>
                </w:p>
              </w:tc>
            </w:tr>
          </w:tbl>
          <w:p w14:paraId="3505435B"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25F5C9B6" w14:textId="2C11240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14801D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27A7955" w14:textId="77777777" w:rsidR="008E3BA7" w:rsidRPr="00BF7956" w:rsidRDefault="008E3BA7" w:rsidP="008E3BA7">
            <w:pPr>
              <w:jc w:val="both"/>
              <w:rPr>
                <w:sz w:val="20"/>
                <w:szCs w:val="20"/>
                <w:lang w:val="ro-RO"/>
              </w:rPr>
            </w:pPr>
          </w:p>
        </w:tc>
        <w:tc>
          <w:tcPr>
            <w:tcW w:w="992" w:type="dxa"/>
          </w:tcPr>
          <w:p w14:paraId="4F8D7384" w14:textId="77777777" w:rsidR="008E3BA7" w:rsidRPr="00BF7956" w:rsidRDefault="008E3BA7" w:rsidP="008E3BA7">
            <w:pPr>
              <w:jc w:val="both"/>
              <w:rPr>
                <w:sz w:val="20"/>
                <w:szCs w:val="20"/>
                <w:lang w:val="ro-RO"/>
              </w:rPr>
            </w:pPr>
          </w:p>
        </w:tc>
      </w:tr>
      <w:tr w:rsidR="008E3BA7" w:rsidRPr="002C43F1" w14:paraId="1B7ABA8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D5F304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7BFCCE1" w14:textId="142E3F6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0165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42394C6" w14:textId="074467D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40F633E" w14:textId="524D7C4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2A (CQS 1, CQS 2)</w:t>
                  </w:r>
                </w:p>
              </w:tc>
            </w:tr>
          </w:tbl>
          <w:p w14:paraId="787333EC" w14:textId="77777777" w:rsidR="008E3BA7" w:rsidRPr="00BF7956" w:rsidRDefault="008E3BA7" w:rsidP="008E3BA7">
            <w:pPr>
              <w:pStyle w:val="CM4"/>
              <w:spacing w:before="60" w:after="60"/>
              <w:rPr>
                <w:i/>
                <w:iCs/>
                <w:color w:val="000000"/>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99E25C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4B5D51C" w14:textId="63C7357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0165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EBD5D9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1BBB86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2A (CQS 1, CQS 2)</w:t>
                  </w:r>
                </w:p>
              </w:tc>
            </w:tr>
          </w:tbl>
          <w:p w14:paraId="769BDE6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4B0881C" w14:textId="56699391"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136280E7" w14:textId="4D2714E2" w:rsidR="008E3BA7" w:rsidRPr="00BF7956" w:rsidRDefault="008E3BA7" w:rsidP="008E3BA7">
            <w:pPr>
              <w:rPr>
                <w:sz w:val="20"/>
                <w:szCs w:val="20"/>
                <w:lang w:val="ro-RO"/>
              </w:rPr>
            </w:pPr>
            <w:r w:rsidRPr="00BF7956">
              <w:rPr>
                <w:rFonts w:eastAsia="Calibri"/>
                <w:sz w:val="20"/>
                <w:szCs w:val="20"/>
                <w:lang w:val="ro-RO" w:eastAsia="en-US"/>
              </w:rPr>
              <w:t xml:space="preserve">Prevederile aferente obligațiunilor garantate nu au fost transpuse, deoarece obligațiunile garantate, </w:t>
            </w:r>
            <w:r w:rsidRPr="00BF7956">
              <w:rPr>
                <w:rFonts w:eastAsia="Calibri"/>
                <w:sz w:val="20"/>
                <w:szCs w:val="20"/>
                <w:lang w:val="ro-MD" w:eastAsia="en-US"/>
              </w:rPr>
              <w:t>î</w:t>
            </w:r>
            <w:r w:rsidRPr="00BF7956">
              <w:rPr>
                <w:rFonts w:eastAsia="Calibri"/>
                <w:sz w:val="20"/>
                <w:szCs w:val="20"/>
                <w:lang w:val="ro-RO" w:eastAsia="en-US"/>
              </w:rPr>
              <w:t>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44F7D285" w14:textId="77777777" w:rsidR="008E3BA7" w:rsidRPr="00BF7956" w:rsidRDefault="008E3BA7" w:rsidP="008E3BA7">
            <w:pPr>
              <w:jc w:val="both"/>
              <w:rPr>
                <w:sz w:val="20"/>
                <w:szCs w:val="20"/>
                <w:lang w:val="ro-RO"/>
              </w:rPr>
            </w:pPr>
          </w:p>
        </w:tc>
        <w:tc>
          <w:tcPr>
            <w:tcW w:w="992" w:type="dxa"/>
          </w:tcPr>
          <w:p w14:paraId="7253FF6C" w14:textId="77777777" w:rsidR="008E3BA7" w:rsidRPr="00BF7956" w:rsidRDefault="008E3BA7" w:rsidP="008E3BA7">
            <w:pPr>
              <w:jc w:val="both"/>
              <w:rPr>
                <w:sz w:val="20"/>
                <w:szCs w:val="20"/>
                <w:lang w:val="ro-RO"/>
              </w:rPr>
            </w:pPr>
          </w:p>
        </w:tc>
      </w:tr>
      <w:tr w:rsidR="008E3BA7" w:rsidRPr="00BF7956" w14:paraId="4ACE2CC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F034AB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0B8F280" w14:textId="1F2A756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lastRenderedPageBreak/>
                    <w:t>0175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23BE441" w14:textId="781FB31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EB05D98" w14:textId="5158824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2A aferente sectorului public (CQS 1, CQS 2)</w:t>
                  </w:r>
                </w:p>
              </w:tc>
            </w:tr>
          </w:tbl>
          <w:p w14:paraId="41F4CB2F" w14:textId="77777777" w:rsidR="008E3BA7" w:rsidRPr="00BF7956" w:rsidRDefault="008E3BA7" w:rsidP="008E3BA7">
            <w:pPr>
              <w:pStyle w:val="CM4"/>
              <w:spacing w:before="60" w:after="60"/>
              <w:rPr>
                <w:i/>
                <w:iCs/>
                <w:color w:val="000000"/>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D12BC2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45E22A3" w14:textId="581C9B3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0175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A63995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9FE551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2A aferente sectorului public (CQS 1, CQS 2)</w:t>
                  </w:r>
                </w:p>
              </w:tc>
            </w:tr>
          </w:tbl>
          <w:p w14:paraId="67239FCA"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5CB600CB" w14:textId="5E228F4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D49419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E670406" w14:textId="77777777" w:rsidR="008E3BA7" w:rsidRPr="00BF7956" w:rsidRDefault="008E3BA7" w:rsidP="008E3BA7">
            <w:pPr>
              <w:jc w:val="both"/>
              <w:rPr>
                <w:sz w:val="20"/>
                <w:szCs w:val="20"/>
                <w:lang w:val="ro-RO"/>
              </w:rPr>
            </w:pPr>
          </w:p>
        </w:tc>
        <w:tc>
          <w:tcPr>
            <w:tcW w:w="992" w:type="dxa"/>
          </w:tcPr>
          <w:p w14:paraId="21120172" w14:textId="77777777" w:rsidR="008E3BA7" w:rsidRPr="00BF7956" w:rsidRDefault="008E3BA7" w:rsidP="008E3BA7">
            <w:pPr>
              <w:jc w:val="both"/>
              <w:rPr>
                <w:sz w:val="20"/>
                <w:szCs w:val="20"/>
                <w:lang w:val="ro-RO"/>
              </w:rPr>
            </w:pPr>
          </w:p>
        </w:tc>
      </w:tr>
      <w:tr w:rsidR="008E3BA7" w:rsidRPr="00BF7956" w14:paraId="27737D5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08A45B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C57092E" w14:textId="44CEC24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0185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207FF5B" w14:textId="401FD8B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7DC1123" w14:textId="76E1DE1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2B</w:t>
                  </w:r>
                </w:p>
              </w:tc>
            </w:tr>
          </w:tbl>
          <w:p w14:paraId="39743EF8" w14:textId="77777777" w:rsidR="008E3BA7" w:rsidRPr="00BF7956" w:rsidRDefault="008E3BA7" w:rsidP="008E3BA7">
            <w:pPr>
              <w:pStyle w:val="CM4"/>
              <w:spacing w:before="60" w:after="60"/>
              <w:rPr>
                <w:i/>
                <w:iCs/>
                <w:color w:val="000000"/>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4B1AC4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72996FA" w14:textId="6904886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0185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191D9C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35B680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2B</w:t>
                  </w:r>
                </w:p>
              </w:tc>
            </w:tr>
          </w:tbl>
          <w:p w14:paraId="3BA07840"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6320605" w14:textId="51B4A7E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81DAE5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5B5B56A" w14:textId="77777777" w:rsidR="008E3BA7" w:rsidRPr="00BF7956" w:rsidRDefault="008E3BA7" w:rsidP="008E3BA7">
            <w:pPr>
              <w:jc w:val="both"/>
              <w:rPr>
                <w:sz w:val="20"/>
                <w:szCs w:val="20"/>
                <w:lang w:val="ro-RO"/>
              </w:rPr>
            </w:pPr>
          </w:p>
        </w:tc>
        <w:tc>
          <w:tcPr>
            <w:tcW w:w="992" w:type="dxa"/>
          </w:tcPr>
          <w:p w14:paraId="66FD88BC" w14:textId="77777777" w:rsidR="008E3BA7" w:rsidRPr="00BF7956" w:rsidRDefault="008E3BA7" w:rsidP="008E3BA7">
            <w:pPr>
              <w:jc w:val="both"/>
              <w:rPr>
                <w:sz w:val="20"/>
                <w:szCs w:val="20"/>
                <w:lang w:val="ro-RO"/>
              </w:rPr>
            </w:pPr>
          </w:p>
        </w:tc>
      </w:tr>
      <w:tr w:rsidR="008E3BA7" w:rsidRPr="002C43F1" w14:paraId="4C46A88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934E85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3A0EA00" w14:textId="7E6A16E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0195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F3DD327" w14:textId="2868621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1DA27C7" w14:textId="50A8C74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Titluri garantate cu active – ABS – de nivel 2B (CQS 1)</w:t>
                  </w:r>
                </w:p>
              </w:tc>
            </w:tr>
          </w:tbl>
          <w:p w14:paraId="2B7A16F7" w14:textId="77777777" w:rsidR="008E3BA7" w:rsidRPr="00BF7956" w:rsidRDefault="008E3BA7" w:rsidP="008E3BA7">
            <w:pPr>
              <w:pStyle w:val="CM4"/>
              <w:spacing w:before="60" w:after="60"/>
              <w:rPr>
                <w:i/>
                <w:iCs/>
                <w:color w:val="000000"/>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D62FB2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471217A" w14:textId="66C6C1F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0195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31E0BE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2BB7AC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Titluri garantate cu active – ABS – de nivel 2B (CQS 1)</w:t>
                  </w:r>
                </w:p>
              </w:tc>
            </w:tr>
          </w:tbl>
          <w:p w14:paraId="05CFBF40"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0DE8B299" w14:textId="13D461A2"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331861D6" w14:textId="13234570" w:rsidR="008E3BA7" w:rsidRPr="00BF7956" w:rsidRDefault="008E3BA7" w:rsidP="008E3BA7">
            <w:pPr>
              <w:rPr>
                <w:sz w:val="20"/>
                <w:szCs w:val="20"/>
                <w:lang w:val="ro-RO"/>
              </w:rPr>
            </w:pPr>
            <w:r w:rsidRPr="00BF7956">
              <w:rPr>
                <w:sz w:val="20"/>
                <w:szCs w:val="20"/>
                <w:lang w:val="ro-RO"/>
              </w:rPr>
              <w:t xml:space="preserve">Prevederile aferente </w:t>
            </w:r>
            <w:r w:rsidRPr="00BF7956">
              <w:rPr>
                <w:color w:val="000000"/>
                <w:sz w:val="20"/>
                <w:szCs w:val="20"/>
                <w:lang w:val="en-US"/>
              </w:rPr>
              <w:t>titluri garantate cu active – ABS</w:t>
            </w:r>
            <w:r w:rsidRPr="00BF7956">
              <w:rPr>
                <w:b/>
                <w:bCs/>
                <w:color w:val="000000"/>
                <w:sz w:val="20"/>
                <w:szCs w:val="20"/>
                <w:lang w:val="en-US"/>
              </w:rPr>
              <w:t xml:space="preserve"> </w:t>
            </w:r>
            <w:r w:rsidRPr="00BF7956">
              <w:rPr>
                <w:sz w:val="20"/>
                <w:szCs w:val="20"/>
                <w:lang w:val="ro-RO"/>
              </w:rPr>
              <w:t xml:space="preserve">nu au fost transpuse deoarece </w:t>
            </w:r>
            <w:r w:rsidRPr="00BF7956">
              <w:rPr>
                <w:color w:val="000000"/>
                <w:sz w:val="20"/>
                <w:szCs w:val="20"/>
                <w:lang w:val="en-US"/>
              </w:rPr>
              <w:t>titlurile garantate cu active – ABS</w:t>
            </w:r>
            <w:r w:rsidRPr="00BF7956">
              <w:rPr>
                <w:rFonts w:eastAsia="Calibri"/>
                <w:sz w:val="20"/>
                <w:szCs w:val="20"/>
                <w:lang w:val="ro-RO" w:eastAsia="en-US"/>
              </w:rPr>
              <w:t>,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496E28CE" w14:textId="77777777" w:rsidR="008E3BA7" w:rsidRPr="00BF7956" w:rsidRDefault="008E3BA7" w:rsidP="008E3BA7">
            <w:pPr>
              <w:jc w:val="both"/>
              <w:rPr>
                <w:sz w:val="20"/>
                <w:szCs w:val="20"/>
                <w:lang w:val="ro-RO"/>
              </w:rPr>
            </w:pPr>
          </w:p>
        </w:tc>
        <w:tc>
          <w:tcPr>
            <w:tcW w:w="992" w:type="dxa"/>
          </w:tcPr>
          <w:p w14:paraId="22204D6A" w14:textId="77777777" w:rsidR="008E3BA7" w:rsidRPr="00BF7956" w:rsidRDefault="008E3BA7" w:rsidP="008E3BA7">
            <w:pPr>
              <w:jc w:val="both"/>
              <w:rPr>
                <w:sz w:val="20"/>
                <w:szCs w:val="20"/>
                <w:lang w:val="ro-RO"/>
              </w:rPr>
            </w:pPr>
          </w:p>
        </w:tc>
      </w:tr>
      <w:tr w:rsidR="008E3BA7" w:rsidRPr="002C43F1" w14:paraId="396493EE"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02CAB1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AD7E3B6" w14:textId="2536861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0205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7476A87" w14:textId="133CFBF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CE735E" w14:textId="48522DC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2B (CQS 1-6)</w:t>
                  </w:r>
                </w:p>
              </w:tc>
            </w:tr>
          </w:tbl>
          <w:p w14:paraId="39034BF1" w14:textId="77777777" w:rsidR="008E3BA7" w:rsidRPr="00BF7956" w:rsidRDefault="008E3BA7" w:rsidP="008E3BA7">
            <w:pPr>
              <w:pStyle w:val="CM4"/>
              <w:spacing w:before="60" w:after="60"/>
              <w:rPr>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F2AAD0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5CA4279" w14:textId="2CA134B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0205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B64F100" w14:textId="0D89501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A7E6D0F" w14:textId="7C55920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2B (CQS 1-6)</w:t>
                  </w:r>
                </w:p>
              </w:tc>
            </w:tr>
          </w:tbl>
          <w:p w14:paraId="4E8536E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7988B18" w14:textId="68576E26"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621CFA9F" w14:textId="73F15B3D"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0CC79CFA" w14:textId="77777777" w:rsidR="008E3BA7" w:rsidRPr="00BF7956" w:rsidRDefault="008E3BA7" w:rsidP="008E3BA7">
            <w:pPr>
              <w:jc w:val="both"/>
              <w:rPr>
                <w:sz w:val="20"/>
                <w:szCs w:val="20"/>
                <w:lang w:val="ro-RO"/>
              </w:rPr>
            </w:pPr>
          </w:p>
        </w:tc>
        <w:tc>
          <w:tcPr>
            <w:tcW w:w="992" w:type="dxa"/>
          </w:tcPr>
          <w:p w14:paraId="60DDD5EB" w14:textId="77777777" w:rsidR="008E3BA7" w:rsidRPr="00BF7956" w:rsidRDefault="008E3BA7" w:rsidP="008E3BA7">
            <w:pPr>
              <w:jc w:val="both"/>
              <w:rPr>
                <w:sz w:val="20"/>
                <w:szCs w:val="20"/>
                <w:lang w:val="ro-RO"/>
              </w:rPr>
            </w:pPr>
          </w:p>
        </w:tc>
      </w:tr>
      <w:tr w:rsidR="008E3BA7" w:rsidRPr="00BF7956" w14:paraId="3E6E542E"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59B906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7610C46" w14:textId="6FAAA36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0215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120D07E" w14:textId="374732B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2EB3D4E" w14:textId="6252034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2B (CQS 1-3)</w:t>
                  </w:r>
                </w:p>
              </w:tc>
            </w:tr>
          </w:tbl>
          <w:p w14:paraId="73AD08E8" w14:textId="77777777" w:rsidR="008E3BA7" w:rsidRPr="00BF7956" w:rsidRDefault="008E3BA7" w:rsidP="008E3BA7">
            <w:pPr>
              <w:pStyle w:val="CM4"/>
              <w:spacing w:before="60" w:after="60"/>
              <w:rPr>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C9E6BE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D2AD727" w14:textId="5D54BD7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0215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F8CE55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B47CD5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2B (CQS 1-3)</w:t>
                  </w:r>
                </w:p>
              </w:tc>
            </w:tr>
          </w:tbl>
          <w:p w14:paraId="503BA1C5" w14:textId="77777777" w:rsidR="008E3BA7" w:rsidRPr="00BF7956" w:rsidRDefault="008E3BA7" w:rsidP="008E3BA7">
            <w:pPr>
              <w:pStyle w:val="CM4"/>
              <w:spacing w:before="60" w:after="60"/>
              <w:rPr>
                <w:sz w:val="20"/>
                <w:szCs w:val="20"/>
                <w:lang w:val="it-IT"/>
              </w:rPr>
            </w:pPr>
          </w:p>
        </w:tc>
        <w:tc>
          <w:tcPr>
            <w:tcW w:w="1418" w:type="dxa"/>
          </w:tcPr>
          <w:p w14:paraId="1AB9D537" w14:textId="5A5EFFB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6355FD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8ABAD07" w14:textId="77777777" w:rsidR="008E3BA7" w:rsidRPr="00BF7956" w:rsidRDefault="008E3BA7" w:rsidP="008E3BA7">
            <w:pPr>
              <w:jc w:val="both"/>
              <w:rPr>
                <w:sz w:val="20"/>
                <w:szCs w:val="20"/>
                <w:lang w:val="ro-RO"/>
              </w:rPr>
            </w:pPr>
          </w:p>
        </w:tc>
        <w:tc>
          <w:tcPr>
            <w:tcW w:w="992" w:type="dxa"/>
          </w:tcPr>
          <w:p w14:paraId="5D19B62A" w14:textId="77777777" w:rsidR="008E3BA7" w:rsidRPr="00BF7956" w:rsidRDefault="008E3BA7" w:rsidP="008E3BA7">
            <w:pPr>
              <w:jc w:val="both"/>
              <w:rPr>
                <w:sz w:val="20"/>
                <w:szCs w:val="20"/>
                <w:lang w:val="ro-RO"/>
              </w:rPr>
            </w:pPr>
          </w:p>
        </w:tc>
      </w:tr>
      <w:tr w:rsidR="008E3BA7" w:rsidRPr="00BF7956" w14:paraId="013D7C7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755211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4FDA869" w14:textId="1230D6F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0225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2328735" w14:textId="558DB0C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779D109" w14:textId="7FD50FC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 de nivel 2B</w:t>
                  </w:r>
                </w:p>
              </w:tc>
            </w:tr>
          </w:tbl>
          <w:p w14:paraId="37C8356D" w14:textId="77777777" w:rsidR="008E3BA7" w:rsidRPr="00BF7956" w:rsidRDefault="008E3BA7" w:rsidP="008E3BA7">
            <w:pPr>
              <w:pStyle w:val="CM4"/>
              <w:spacing w:before="60" w:after="60"/>
              <w:rPr>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F86E19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89293D4" w14:textId="25BAEFC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0225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A3E0EE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9CF449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 de nivel 2B</w:t>
                  </w:r>
                </w:p>
              </w:tc>
            </w:tr>
          </w:tbl>
          <w:p w14:paraId="16B66EF1"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FCACCF1" w14:textId="0985D71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2253EF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9EEA9CE" w14:textId="77777777" w:rsidR="008E3BA7" w:rsidRPr="00BF7956" w:rsidRDefault="008E3BA7" w:rsidP="008E3BA7">
            <w:pPr>
              <w:jc w:val="both"/>
              <w:rPr>
                <w:sz w:val="20"/>
                <w:szCs w:val="20"/>
                <w:lang w:val="ro-RO"/>
              </w:rPr>
            </w:pPr>
          </w:p>
        </w:tc>
        <w:tc>
          <w:tcPr>
            <w:tcW w:w="992" w:type="dxa"/>
          </w:tcPr>
          <w:p w14:paraId="53F536A0" w14:textId="77777777" w:rsidR="008E3BA7" w:rsidRPr="00BF7956" w:rsidRDefault="008E3BA7" w:rsidP="008E3BA7">
            <w:pPr>
              <w:jc w:val="both"/>
              <w:rPr>
                <w:sz w:val="20"/>
                <w:szCs w:val="20"/>
                <w:lang w:val="ro-RO"/>
              </w:rPr>
            </w:pPr>
          </w:p>
        </w:tc>
      </w:tr>
      <w:tr w:rsidR="008E3BA7" w:rsidRPr="00BF7956" w14:paraId="4768FAF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50F2A0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14B4E3A" w14:textId="7F464F4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lastRenderedPageBreak/>
                    <w:t>0235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104CE41" w14:textId="7A61C96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0695C85" w14:textId="6E0D334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2B aferente sectorului public (CQS 3-5)</w:t>
                  </w:r>
                </w:p>
              </w:tc>
            </w:tr>
          </w:tbl>
          <w:p w14:paraId="7B6EF8DF" w14:textId="77777777" w:rsidR="008E3BA7" w:rsidRPr="00BF7956" w:rsidRDefault="008E3BA7" w:rsidP="008E3BA7">
            <w:pPr>
              <w:pStyle w:val="CM4"/>
              <w:spacing w:before="60" w:after="60"/>
              <w:rPr>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71AAA0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C007356" w14:textId="3F7657B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0235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8555F4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E358AC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2B aferente sectorului public (CQS 3-5)</w:t>
                  </w:r>
                </w:p>
              </w:tc>
            </w:tr>
          </w:tbl>
          <w:p w14:paraId="6B4E7606"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3C12BD7D" w14:textId="6E98861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5FC413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95FE9C0" w14:textId="77777777" w:rsidR="008E3BA7" w:rsidRPr="00BF7956" w:rsidRDefault="008E3BA7" w:rsidP="008E3BA7">
            <w:pPr>
              <w:jc w:val="both"/>
              <w:rPr>
                <w:sz w:val="20"/>
                <w:szCs w:val="20"/>
                <w:lang w:val="ro-RO"/>
              </w:rPr>
            </w:pPr>
          </w:p>
        </w:tc>
        <w:tc>
          <w:tcPr>
            <w:tcW w:w="992" w:type="dxa"/>
          </w:tcPr>
          <w:p w14:paraId="5F9738C0" w14:textId="77777777" w:rsidR="008E3BA7" w:rsidRPr="00BF7956" w:rsidRDefault="008E3BA7" w:rsidP="008E3BA7">
            <w:pPr>
              <w:jc w:val="both"/>
              <w:rPr>
                <w:sz w:val="20"/>
                <w:szCs w:val="20"/>
                <w:lang w:val="ro-RO"/>
              </w:rPr>
            </w:pPr>
          </w:p>
        </w:tc>
      </w:tr>
      <w:tr w:rsidR="008E3BA7" w:rsidRPr="00BF7956" w14:paraId="47DE61E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A86117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11F3799" w14:textId="1073596D" w:rsidR="008E3BA7" w:rsidRPr="00BF7956" w:rsidRDefault="00850E4E" w:rsidP="008E3BA7">
                  <w:pPr>
                    <w:pStyle w:val="CM4"/>
                    <w:framePr w:hSpace="180" w:wrap="around" w:vAnchor="text" w:hAnchor="margin" w:y="137"/>
                    <w:spacing w:before="60" w:after="60"/>
                    <w:rPr>
                      <w:i/>
                      <w:iCs/>
                      <w:color w:val="000000"/>
                      <w:sz w:val="20"/>
                      <w:szCs w:val="20"/>
                    </w:rPr>
                  </w:pPr>
                  <w:r w:rsidRPr="00BF7956">
                    <w:rPr>
                      <w:sz w:val="20"/>
                      <w:szCs w:val="20"/>
                    </w:rPr>
                    <w:t>0245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5A4B4DC" w14:textId="51B9F6D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ABB3250" w14:textId="073B014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0EC0B0FF" w14:textId="77777777" w:rsidR="008E3BA7" w:rsidRPr="00BF7956" w:rsidRDefault="008E3BA7" w:rsidP="008E3BA7">
            <w:pPr>
              <w:pStyle w:val="CM4"/>
              <w:spacing w:before="60" w:after="60"/>
              <w:rPr>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79358F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69CBF86" w14:textId="78623470" w:rsidR="008E3BA7" w:rsidRPr="00BF7956" w:rsidRDefault="00850E4E" w:rsidP="008E3BA7">
                  <w:pPr>
                    <w:pStyle w:val="CM4"/>
                    <w:framePr w:hSpace="180" w:wrap="around" w:vAnchor="text" w:hAnchor="margin" w:y="137"/>
                    <w:spacing w:before="60" w:after="60"/>
                    <w:rPr>
                      <w:i/>
                      <w:iCs/>
                      <w:color w:val="000000"/>
                      <w:sz w:val="20"/>
                      <w:szCs w:val="20"/>
                    </w:rPr>
                  </w:pPr>
                  <w:r w:rsidRPr="00BF7956">
                    <w:rPr>
                      <w:sz w:val="20"/>
                      <w:szCs w:val="20"/>
                    </w:rPr>
                    <w:t>0245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66C3A7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10AD4D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1152E55B"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43588CF" w14:textId="6C5DBF5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4CE423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7D02494" w14:textId="77777777" w:rsidR="008E3BA7" w:rsidRPr="00BF7956" w:rsidRDefault="008E3BA7" w:rsidP="008E3BA7">
            <w:pPr>
              <w:jc w:val="both"/>
              <w:rPr>
                <w:sz w:val="20"/>
                <w:szCs w:val="20"/>
                <w:lang w:val="ro-RO"/>
              </w:rPr>
            </w:pPr>
          </w:p>
        </w:tc>
        <w:tc>
          <w:tcPr>
            <w:tcW w:w="992" w:type="dxa"/>
          </w:tcPr>
          <w:p w14:paraId="07183CBA" w14:textId="77777777" w:rsidR="008E3BA7" w:rsidRPr="00BF7956" w:rsidRDefault="008E3BA7" w:rsidP="008E3BA7">
            <w:pPr>
              <w:jc w:val="both"/>
              <w:rPr>
                <w:sz w:val="20"/>
                <w:szCs w:val="20"/>
                <w:lang w:val="ro-RO"/>
              </w:rPr>
            </w:pPr>
          </w:p>
        </w:tc>
      </w:tr>
      <w:tr w:rsidR="008E3BA7" w:rsidRPr="00BF7956" w14:paraId="74E847D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6B20E2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35C7B53" w14:textId="05563ABC" w:rsidR="008E3BA7" w:rsidRPr="00BF7956" w:rsidRDefault="00850E4E" w:rsidP="008E3BA7">
                  <w:pPr>
                    <w:pStyle w:val="CM4"/>
                    <w:framePr w:hSpace="180" w:wrap="around" w:vAnchor="text" w:hAnchor="margin" w:y="137"/>
                    <w:spacing w:before="60" w:after="60"/>
                    <w:rPr>
                      <w:i/>
                      <w:iCs/>
                      <w:color w:val="000000"/>
                      <w:sz w:val="20"/>
                      <w:szCs w:val="20"/>
                    </w:rPr>
                  </w:pPr>
                  <w:r w:rsidRPr="00BF7956">
                    <w:rPr>
                      <w:sz w:val="20"/>
                      <w:szCs w:val="20"/>
                    </w:rPr>
                    <w:t>0251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DF3DB2D" w14:textId="6C2068D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2C0469" w14:textId="35085D3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w:t>
                  </w:r>
                </w:p>
              </w:tc>
            </w:tr>
          </w:tbl>
          <w:p w14:paraId="556BD514" w14:textId="77777777" w:rsidR="008E3BA7" w:rsidRPr="00BF7956" w:rsidRDefault="008E3BA7" w:rsidP="008E3BA7">
            <w:pPr>
              <w:pStyle w:val="CM4"/>
              <w:spacing w:before="60" w:after="60"/>
              <w:rPr>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90AD8E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4CADAAC" w14:textId="7081A119" w:rsidR="008E3BA7" w:rsidRPr="00BF7956" w:rsidRDefault="00850E4E" w:rsidP="008E3BA7">
                  <w:pPr>
                    <w:pStyle w:val="CM4"/>
                    <w:framePr w:hSpace="180" w:wrap="around" w:vAnchor="text" w:hAnchor="margin" w:y="137"/>
                    <w:spacing w:before="60" w:after="60"/>
                    <w:rPr>
                      <w:i/>
                      <w:iCs/>
                      <w:color w:val="000000"/>
                      <w:sz w:val="20"/>
                      <w:szCs w:val="20"/>
                    </w:rPr>
                  </w:pPr>
                  <w:r w:rsidRPr="00BF7956">
                    <w:rPr>
                      <w:sz w:val="20"/>
                      <w:szCs w:val="20"/>
                    </w:rPr>
                    <w:t>0251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533A7E9" w14:textId="6333DAD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9BD9505" w14:textId="2FA1A27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w:t>
                  </w:r>
                </w:p>
              </w:tc>
            </w:tr>
          </w:tbl>
          <w:p w14:paraId="24DA48A5"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65219664" w14:textId="6381EDB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49359D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3EB3D77" w14:textId="77777777" w:rsidR="008E3BA7" w:rsidRPr="00BF7956" w:rsidRDefault="008E3BA7" w:rsidP="008E3BA7">
            <w:pPr>
              <w:jc w:val="both"/>
              <w:rPr>
                <w:sz w:val="20"/>
                <w:szCs w:val="20"/>
                <w:lang w:val="ro-RO"/>
              </w:rPr>
            </w:pPr>
          </w:p>
        </w:tc>
        <w:tc>
          <w:tcPr>
            <w:tcW w:w="992" w:type="dxa"/>
          </w:tcPr>
          <w:p w14:paraId="62A1D153" w14:textId="77777777" w:rsidR="008E3BA7" w:rsidRPr="00BF7956" w:rsidRDefault="008E3BA7" w:rsidP="008E3BA7">
            <w:pPr>
              <w:jc w:val="both"/>
              <w:rPr>
                <w:sz w:val="20"/>
                <w:szCs w:val="20"/>
                <w:lang w:val="ro-RO"/>
              </w:rPr>
            </w:pPr>
          </w:p>
        </w:tc>
      </w:tr>
      <w:tr w:rsidR="00850E4E" w:rsidRPr="00BF7956" w14:paraId="69102E4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50E4E" w:rsidRPr="002C43F1" w14:paraId="52E2997C"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58F2D34" w14:textId="1DFCAA6F" w:rsidR="00850E4E" w:rsidRPr="00BF7956" w:rsidRDefault="00850E4E" w:rsidP="00850E4E">
                  <w:pPr>
                    <w:pStyle w:val="CM4"/>
                    <w:framePr w:hSpace="180" w:wrap="around" w:vAnchor="text" w:hAnchor="margin" w:y="137"/>
                    <w:spacing w:before="60" w:after="60"/>
                    <w:rPr>
                      <w:i/>
                      <w:iCs/>
                      <w:color w:val="000000"/>
                      <w:sz w:val="20"/>
                      <w:szCs w:val="20"/>
                    </w:rPr>
                  </w:pPr>
                  <w:r w:rsidRPr="00BF7956">
                    <w:rPr>
                      <w:sz w:val="20"/>
                      <w:szCs w:val="20"/>
                    </w:rPr>
                    <w:t>0252</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0C60778" w14:textId="3CCF709D" w:rsidR="00850E4E" w:rsidRPr="00BF7956" w:rsidRDefault="00850E4E" w:rsidP="00850E4E">
                  <w:pPr>
                    <w:pStyle w:val="CM4"/>
                    <w:framePr w:hSpace="180" w:wrap="around" w:vAnchor="text" w:hAnchor="margin" w:y="137"/>
                    <w:spacing w:before="60" w:after="60"/>
                    <w:rPr>
                      <w:i/>
                      <w:iCs/>
                      <w:color w:val="000000"/>
                      <w:sz w:val="20"/>
                      <w:szCs w:val="20"/>
                    </w:rPr>
                  </w:pPr>
                  <w:r w:rsidRPr="00BF7956">
                    <w:rPr>
                      <w:b/>
                      <w:bCs/>
                      <w:sz w:val="20"/>
                      <w:szCs w:val="20"/>
                    </w:rPr>
                    <w:t>1.2a</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8196FCC" w14:textId="540BA94D" w:rsidR="00850E4E" w:rsidRPr="00BF7956" w:rsidRDefault="00850E4E" w:rsidP="00850E4E">
                  <w:pPr>
                    <w:pStyle w:val="CM4"/>
                    <w:framePr w:hSpace="180" w:wrap="around" w:vAnchor="text" w:hAnchor="margin" w:y="137"/>
                    <w:spacing w:before="60" w:after="60"/>
                    <w:rPr>
                      <w:i/>
                      <w:iCs/>
                      <w:color w:val="000000"/>
                      <w:sz w:val="20"/>
                      <w:szCs w:val="20"/>
                    </w:rPr>
                  </w:pPr>
                  <w:r w:rsidRPr="00BF7956">
                    <w:rPr>
                      <w:b/>
                      <w:bCs/>
                      <w:sz w:val="20"/>
                      <w:szCs w:val="20"/>
                    </w:rPr>
                    <w:t>Datorii rezultate din tranzacții de creditare garantată și operațiuni ajustate la condițiile pieței de capital garantate cu (contrapartea este o bancă centrală):</w:t>
                  </w:r>
                </w:p>
              </w:tc>
            </w:tr>
          </w:tbl>
          <w:p w14:paraId="6025589C" w14:textId="77777777" w:rsidR="00850E4E" w:rsidRPr="00BF7956" w:rsidRDefault="00850E4E"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50E4E" w:rsidRPr="002C43F1" w14:paraId="2DF7160D"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1349BB9C" w14:textId="5C560452" w:rsidR="00850E4E" w:rsidRPr="00BF7956" w:rsidRDefault="00850E4E" w:rsidP="00850E4E">
                  <w:pPr>
                    <w:pStyle w:val="CM4"/>
                    <w:framePr w:hSpace="180" w:wrap="around" w:vAnchor="text" w:hAnchor="margin" w:y="137"/>
                    <w:spacing w:before="60" w:after="60"/>
                    <w:rPr>
                      <w:i/>
                      <w:iCs/>
                      <w:color w:val="000000"/>
                      <w:sz w:val="20"/>
                      <w:szCs w:val="20"/>
                    </w:rPr>
                  </w:pPr>
                  <w:r w:rsidRPr="00BF7956">
                    <w:rPr>
                      <w:sz w:val="20"/>
                      <w:szCs w:val="20"/>
                    </w:rPr>
                    <w:t>0252</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EAEFECE" w14:textId="2C883B0E" w:rsidR="00850E4E" w:rsidRPr="00BF7956" w:rsidRDefault="00850E4E" w:rsidP="00850E4E">
                  <w:pPr>
                    <w:pStyle w:val="CM4"/>
                    <w:framePr w:hSpace="180" w:wrap="around" w:vAnchor="text" w:hAnchor="margin" w:y="137"/>
                    <w:spacing w:before="60" w:after="60"/>
                    <w:rPr>
                      <w:i/>
                      <w:iCs/>
                      <w:color w:val="000000"/>
                      <w:sz w:val="20"/>
                      <w:szCs w:val="20"/>
                    </w:rPr>
                  </w:pPr>
                  <w:r w:rsidRPr="00BF7956">
                    <w:rPr>
                      <w:b/>
                      <w:bCs/>
                      <w:sz w:val="20"/>
                      <w:szCs w:val="20"/>
                    </w:rPr>
                    <w:t>1.2a</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A71E1FA" w14:textId="36CA95E0" w:rsidR="00850E4E" w:rsidRPr="00BF7956" w:rsidRDefault="00850E4E" w:rsidP="00850E4E">
                  <w:pPr>
                    <w:pStyle w:val="CM4"/>
                    <w:framePr w:hSpace="180" w:wrap="around" w:vAnchor="text" w:hAnchor="margin" w:y="137"/>
                    <w:spacing w:before="60" w:after="60"/>
                    <w:rPr>
                      <w:i/>
                      <w:iCs/>
                      <w:color w:val="000000"/>
                      <w:sz w:val="20"/>
                      <w:szCs w:val="20"/>
                    </w:rPr>
                  </w:pPr>
                  <w:r w:rsidRPr="00BF7956">
                    <w:rPr>
                      <w:b/>
                      <w:bCs/>
                      <w:sz w:val="20"/>
                      <w:szCs w:val="20"/>
                    </w:rPr>
                    <w:t>Datorii rezultate din tranzacții de creditare garantată și operațiuni ajustate la condițiile pieței de capital garantate cu (contrapartea este o bancă centrală):</w:t>
                  </w:r>
                </w:p>
              </w:tc>
            </w:tr>
          </w:tbl>
          <w:p w14:paraId="13C54CF7" w14:textId="77777777" w:rsidR="00850E4E" w:rsidRPr="00BF7956" w:rsidRDefault="00850E4E" w:rsidP="008E3BA7">
            <w:pPr>
              <w:pStyle w:val="CM4"/>
              <w:spacing w:before="60" w:after="60"/>
              <w:rPr>
                <w:sz w:val="20"/>
                <w:szCs w:val="20"/>
              </w:rPr>
            </w:pPr>
          </w:p>
        </w:tc>
        <w:tc>
          <w:tcPr>
            <w:tcW w:w="1418" w:type="dxa"/>
          </w:tcPr>
          <w:p w14:paraId="13264F9D" w14:textId="65B38CF1" w:rsidR="00850E4E" w:rsidRPr="00BF7956" w:rsidRDefault="00850E4E" w:rsidP="008E3BA7">
            <w:pPr>
              <w:rPr>
                <w:bCs/>
                <w:sz w:val="20"/>
                <w:szCs w:val="20"/>
                <w:lang w:val="ro-RO"/>
              </w:rPr>
            </w:pPr>
            <w:r w:rsidRPr="00BF7956">
              <w:rPr>
                <w:bCs/>
                <w:sz w:val="20"/>
                <w:szCs w:val="20"/>
                <w:lang w:val="ro-RO"/>
              </w:rPr>
              <w:t>Compatibil</w:t>
            </w:r>
          </w:p>
        </w:tc>
        <w:tc>
          <w:tcPr>
            <w:tcW w:w="2223" w:type="dxa"/>
          </w:tcPr>
          <w:p w14:paraId="3FC8F022" w14:textId="77777777" w:rsidR="00850E4E" w:rsidRPr="00BF7956" w:rsidRDefault="00850E4E" w:rsidP="008E3BA7">
            <w:pPr>
              <w:jc w:val="both"/>
              <w:rPr>
                <w:sz w:val="20"/>
                <w:szCs w:val="20"/>
                <w:lang w:val="ro-RO"/>
              </w:rPr>
            </w:pPr>
          </w:p>
        </w:tc>
        <w:tc>
          <w:tcPr>
            <w:tcW w:w="1134" w:type="dxa"/>
            <w:tcBorders>
              <w:top w:val="single" w:sz="4" w:space="0" w:color="auto"/>
              <w:bottom w:val="single" w:sz="4" w:space="0" w:color="auto"/>
            </w:tcBorders>
          </w:tcPr>
          <w:p w14:paraId="1AB127BD" w14:textId="77777777" w:rsidR="00850E4E" w:rsidRPr="00BF7956" w:rsidRDefault="00850E4E" w:rsidP="008E3BA7">
            <w:pPr>
              <w:jc w:val="both"/>
              <w:rPr>
                <w:sz w:val="20"/>
                <w:szCs w:val="20"/>
                <w:lang w:val="ro-RO"/>
              </w:rPr>
            </w:pPr>
          </w:p>
        </w:tc>
        <w:tc>
          <w:tcPr>
            <w:tcW w:w="992" w:type="dxa"/>
          </w:tcPr>
          <w:p w14:paraId="194E39E8" w14:textId="77777777" w:rsidR="00850E4E" w:rsidRPr="00BF7956" w:rsidRDefault="00850E4E" w:rsidP="008E3BA7">
            <w:pPr>
              <w:jc w:val="both"/>
              <w:rPr>
                <w:sz w:val="20"/>
                <w:szCs w:val="20"/>
                <w:lang w:val="ro-RO"/>
              </w:rPr>
            </w:pPr>
          </w:p>
        </w:tc>
      </w:tr>
      <w:tr w:rsidR="005D07E6" w:rsidRPr="00BF7956" w14:paraId="5E0A09F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5D07E6" w:rsidRPr="00BF7956" w14:paraId="17DBA33F"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0505CB03" w14:textId="6A3C0DD7"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0253</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A49D621" w14:textId="67B51870"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DA897FE" w14:textId="66AA12BE"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1F05B975" w14:textId="77777777" w:rsidR="005D07E6" w:rsidRPr="00BF7956" w:rsidRDefault="005D07E6" w:rsidP="005D07E6">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5D07E6" w:rsidRPr="00BF7956" w14:paraId="7632E01F"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576E0A46" w14:textId="7FD8D6E0"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0253</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38CF30D" w14:textId="471EFE70"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1550879" w14:textId="13E3AAB4"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39A87554" w14:textId="77777777" w:rsidR="005D07E6" w:rsidRPr="00BF7956" w:rsidRDefault="005D07E6" w:rsidP="005D07E6">
            <w:pPr>
              <w:pStyle w:val="CM4"/>
              <w:spacing w:before="60" w:after="60"/>
              <w:rPr>
                <w:sz w:val="20"/>
                <w:szCs w:val="20"/>
              </w:rPr>
            </w:pPr>
          </w:p>
        </w:tc>
        <w:tc>
          <w:tcPr>
            <w:tcW w:w="1418" w:type="dxa"/>
          </w:tcPr>
          <w:p w14:paraId="0EA9D75C" w14:textId="54C7D133" w:rsidR="005D07E6" w:rsidRPr="00BF7956" w:rsidRDefault="005D07E6" w:rsidP="005D07E6">
            <w:pPr>
              <w:rPr>
                <w:bCs/>
                <w:sz w:val="20"/>
                <w:szCs w:val="20"/>
                <w:lang w:val="ro-RO"/>
              </w:rPr>
            </w:pPr>
            <w:r w:rsidRPr="00BF7956">
              <w:rPr>
                <w:bCs/>
                <w:sz w:val="20"/>
                <w:szCs w:val="20"/>
                <w:lang w:val="ro-RO"/>
              </w:rPr>
              <w:t>Compatibil</w:t>
            </w:r>
          </w:p>
        </w:tc>
        <w:tc>
          <w:tcPr>
            <w:tcW w:w="2223" w:type="dxa"/>
          </w:tcPr>
          <w:p w14:paraId="24B78E9C" w14:textId="77777777" w:rsidR="005D07E6" w:rsidRPr="00BF7956" w:rsidRDefault="005D07E6" w:rsidP="005D07E6">
            <w:pPr>
              <w:jc w:val="both"/>
              <w:rPr>
                <w:sz w:val="20"/>
                <w:szCs w:val="20"/>
                <w:lang w:val="ro-RO"/>
              </w:rPr>
            </w:pPr>
          </w:p>
        </w:tc>
        <w:tc>
          <w:tcPr>
            <w:tcW w:w="1134" w:type="dxa"/>
            <w:tcBorders>
              <w:top w:val="single" w:sz="4" w:space="0" w:color="auto"/>
              <w:bottom w:val="single" w:sz="4" w:space="0" w:color="auto"/>
            </w:tcBorders>
          </w:tcPr>
          <w:p w14:paraId="30E6B444" w14:textId="77777777" w:rsidR="005D07E6" w:rsidRPr="00BF7956" w:rsidRDefault="005D07E6" w:rsidP="005D07E6">
            <w:pPr>
              <w:jc w:val="both"/>
              <w:rPr>
                <w:sz w:val="20"/>
                <w:szCs w:val="20"/>
                <w:lang w:val="ro-RO"/>
              </w:rPr>
            </w:pPr>
          </w:p>
        </w:tc>
        <w:tc>
          <w:tcPr>
            <w:tcW w:w="992" w:type="dxa"/>
          </w:tcPr>
          <w:p w14:paraId="1D9E5405" w14:textId="77777777" w:rsidR="005D07E6" w:rsidRPr="00BF7956" w:rsidRDefault="005D07E6" w:rsidP="005D07E6">
            <w:pPr>
              <w:jc w:val="both"/>
              <w:rPr>
                <w:sz w:val="20"/>
                <w:szCs w:val="20"/>
                <w:lang w:val="ro-RO"/>
              </w:rPr>
            </w:pPr>
          </w:p>
        </w:tc>
      </w:tr>
      <w:tr w:rsidR="005D07E6" w:rsidRPr="00BF7956" w14:paraId="701D169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5D07E6" w:rsidRPr="002C43F1" w14:paraId="63B364E3"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527EBE8A" w14:textId="76E04E24"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0254</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36082A8" w14:textId="5C920729"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8814EA9" w14:textId="5F3562E9"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Active tranzacționabile de nivel 2A</w:t>
                  </w:r>
                </w:p>
              </w:tc>
            </w:tr>
          </w:tbl>
          <w:p w14:paraId="56C0A695" w14:textId="77777777" w:rsidR="005D07E6" w:rsidRPr="00BF7956" w:rsidRDefault="005D07E6" w:rsidP="005D07E6">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5D07E6" w:rsidRPr="002C43F1" w14:paraId="11BE0B73"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BF82694" w14:textId="2866E15A"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0254</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9ECDA67" w14:textId="7C9CF3A3"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E8364C6" w14:textId="13A54821"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Active tranzacționabile de nivel 2A</w:t>
                  </w:r>
                </w:p>
              </w:tc>
            </w:tr>
          </w:tbl>
          <w:p w14:paraId="37C37F31" w14:textId="77777777" w:rsidR="005D07E6" w:rsidRPr="00BF7956" w:rsidRDefault="005D07E6" w:rsidP="005D07E6">
            <w:pPr>
              <w:pStyle w:val="CM4"/>
              <w:spacing w:before="60" w:after="60"/>
              <w:rPr>
                <w:sz w:val="20"/>
                <w:szCs w:val="20"/>
              </w:rPr>
            </w:pPr>
          </w:p>
        </w:tc>
        <w:tc>
          <w:tcPr>
            <w:tcW w:w="1418" w:type="dxa"/>
          </w:tcPr>
          <w:p w14:paraId="61F34534" w14:textId="10B16334" w:rsidR="005D07E6" w:rsidRPr="00BF7956" w:rsidRDefault="005D07E6" w:rsidP="005D07E6">
            <w:pPr>
              <w:rPr>
                <w:bCs/>
                <w:sz w:val="20"/>
                <w:szCs w:val="20"/>
                <w:lang w:val="ro-RO"/>
              </w:rPr>
            </w:pPr>
            <w:r w:rsidRPr="00BF7956">
              <w:rPr>
                <w:bCs/>
                <w:sz w:val="20"/>
                <w:szCs w:val="20"/>
                <w:lang w:val="ro-RO"/>
              </w:rPr>
              <w:t>Compatibil</w:t>
            </w:r>
          </w:p>
        </w:tc>
        <w:tc>
          <w:tcPr>
            <w:tcW w:w="2223" w:type="dxa"/>
          </w:tcPr>
          <w:p w14:paraId="4CB2C3E4" w14:textId="77777777" w:rsidR="005D07E6" w:rsidRPr="00BF7956" w:rsidRDefault="005D07E6" w:rsidP="005D07E6">
            <w:pPr>
              <w:jc w:val="both"/>
              <w:rPr>
                <w:sz w:val="20"/>
                <w:szCs w:val="20"/>
                <w:lang w:val="ro-RO"/>
              </w:rPr>
            </w:pPr>
          </w:p>
        </w:tc>
        <w:tc>
          <w:tcPr>
            <w:tcW w:w="1134" w:type="dxa"/>
            <w:tcBorders>
              <w:top w:val="single" w:sz="4" w:space="0" w:color="auto"/>
              <w:bottom w:val="single" w:sz="4" w:space="0" w:color="auto"/>
            </w:tcBorders>
          </w:tcPr>
          <w:p w14:paraId="0111E02B" w14:textId="77777777" w:rsidR="005D07E6" w:rsidRPr="00BF7956" w:rsidRDefault="005D07E6" w:rsidP="005D07E6">
            <w:pPr>
              <w:jc w:val="both"/>
              <w:rPr>
                <w:sz w:val="20"/>
                <w:szCs w:val="20"/>
                <w:lang w:val="ro-RO"/>
              </w:rPr>
            </w:pPr>
          </w:p>
        </w:tc>
        <w:tc>
          <w:tcPr>
            <w:tcW w:w="992" w:type="dxa"/>
          </w:tcPr>
          <w:p w14:paraId="25D17909" w14:textId="77777777" w:rsidR="005D07E6" w:rsidRPr="00BF7956" w:rsidRDefault="005D07E6" w:rsidP="005D07E6">
            <w:pPr>
              <w:jc w:val="both"/>
              <w:rPr>
                <w:sz w:val="20"/>
                <w:szCs w:val="20"/>
                <w:lang w:val="ro-RO"/>
              </w:rPr>
            </w:pPr>
          </w:p>
        </w:tc>
      </w:tr>
      <w:tr w:rsidR="005D07E6" w:rsidRPr="00BF7956" w14:paraId="60E76C6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5D07E6" w:rsidRPr="002C43F1" w14:paraId="69ECC544"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0A5289B4" w14:textId="48C4B546"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B796787" w14:textId="61DAB0B2"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B85752B" w14:textId="5B6126EB"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Active tranzacționabile de nivel 2B</w:t>
                  </w:r>
                </w:p>
              </w:tc>
            </w:tr>
          </w:tbl>
          <w:p w14:paraId="044225C1" w14:textId="77777777" w:rsidR="005D07E6" w:rsidRPr="00BF7956" w:rsidRDefault="005D07E6" w:rsidP="005D07E6">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5D07E6" w:rsidRPr="002C43F1" w14:paraId="60F4F887"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1590291B" w14:textId="78083EFF"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0255</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6859B24" w14:textId="08B7F890"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E9DA5F8" w14:textId="037701BA"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Active tranzacționabile de nivel 2B</w:t>
                  </w:r>
                </w:p>
              </w:tc>
            </w:tr>
          </w:tbl>
          <w:p w14:paraId="78AF04F9" w14:textId="77777777" w:rsidR="005D07E6" w:rsidRPr="00BF7956" w:rsidRDefault="005D07E6" w:rsidP="005D07E6">
            <w:pPr>
              <w:pStyle w:val="CM4"/>
              <w:spacing w:before="60" w:after="60"/>
              <w:rPr>
                <w:sz w:val="20"/>
                <w:szCs w:val="20"/>
              </w:rPr>
            </w:pPr>
          </w:p>
        </w:tc>
        <w:tc>
          <w:tcPr>
            <w:tcW w:w="1418" w:type="dxa"/>
          </w:tcPr>
          <w:p w14:paraId="6D5EB692" w14:textId="003774EC" w:rsidR="005D07E6" w:rsidRPr="00BF7956" w:rsidRDefault="005D07E6" w:rsidP="005D07E6">
            <w:pPr>
              <w:rPr>
                <w:bCs/>
                <w:sz w:val="20"/>
                <w:szCs w:val="20"/>
                <w:lang w:val="ro-RO"/>
              </w:rPr>
            </w:pPr>
            <w:r w:rsidRPr="00BF7956">
              <w:rPr>
                <w:bCs/>
                <w:sz w:val="20"/>
                <w:szCs w:val="20"/>
                <w:lang w:val="ro-RO"/>
              </w:rPr>
              <w:t>Compatibil</w:t>
            </w:r>
          </w:p>
        </w:tc>
        <w:tc>
          <w:tcPr>
            <w:tcW w:w="2223" w:type="dxa"/>
          </w:tcPr>
          <w:p w14:paraId="658EF174" w14:textId="77777777" w:rsidR="005D07E6" w:rsidRPr="00BF7956" w:rsidRDefault="005D07E6" w:rsidP="005D07E6">
            <w:pPr>
              <w:jc w:val="both"/>
              <w:rPr>
                <w:sz w:val="20"/>
                <w:szCs w:val="20"/>
                <w:lang w:val="ro-RO"/>
              </w:rPr>
            </w:pPr>
          </w:p>
        </w:tc>
        <w:tc>
          <w:tcPr>
            <w:tcW w:w="1134" w:type="dxa"/>
            <w:tcBorders>
              <w:top w:val="single" w:sz="4" w:space="0" w:color="auto"/>
              <w:bottom w:val="single" w:sz="4" w:space="0" w:color="auto"/>
            </w:tcBorders>
          </w:tcPr>
          <w:p w14:paraId="37D1D711" w14:textId="77777777" w:rsidR="005D07E6" w:rsidRPr="00BF7956" w:rsidRDefault="005D07E6" w:rsidP="005D07E6">
            <w:pPr>
              <w:jc w:val="both"/>
              <w:rPr>
                <w:sz w:val="20"/>
                <w:szCs w:val="20"/>
                <w:lang w:val="ro-RO"/>
              </w:rPr>
            </w:pPr>
          </w:p>
        </w:tc>
        <w:tc>
          <w:tcPr>
            <w:tcW w:w="992" w:type="dxa"/>
          </w:tcPr>
          <w:p w14:paraId="08347E8C" w14:textId="77777777" w:rsidR="005D07E6" w:rsidRPr="00BF7956" w:rsidRDefault="005D07E6" w:rsidP="005D07E6">
            <w:pPr>
              <w:jc w:val="both"/>
              <w:rPr>
                <w:sz w:val="20"/>
                <w:szCs w:val="20"/>
                <w:lang w:val="ro-RO"/>
              </w:rPr>
            </w:pPr>
          </w:p>
        </w:tc>
      </w:tr>
      <w:tr w:rsidR="005D07E6" w:rsidRPr="00BF7956" w14:paraId="4F3076A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5D07E6" w:rsidRPr="00BF7956" w14:paraId="74AD4F75"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40ADD7D2" w14:textId="606EE4C4"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0256</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83D7225" w14:textId="18D456E8"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850F3FF" w14:textId="30E12EFC"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3F6F6A3C" w14:textId="77777777" w:rsidR="005D07E6" w:rsidRPr="00BF7956" w:rsidRDefault="005D07E6" w:rsidP="005D07E6">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5D07E6" w:rsidRPr="00BF7956" w14:paraId="7FB2905F"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FC86EEE" w14:textId="5F44AE21"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0256</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75499D7" w14:textId="65E7EA16"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39ED734" w14:textId="39B424B3"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304B51D8" w14:textId="77777777" w:rsidR="005D07E6" w:rsidRPr="00BF7956" w:rsidRDefault="005D07E6" w:rsidP="005D07E6">
            <w:pPr>
              <w:pStyle w:val="CM4"/>
              <w:spacing w:before="60" w:after="60"/>
              <w:rPr>
                <w:sz w:val="20"/>
                <w:szCs w:val="20"/>
                <w:lang w:val="en-US"/>
              </w:rPr>
            </w:pPr>
          </w:p>
        </w:tc>
        <w:tc>
          <w:tcPr>
            <w:tcW w:w="1418" w:type="dxa"/>
          </w:tcPr>
          <w:p w14:paraId="548FA156" w14:textId="6A8D2998" w:rsidR="005D07E6" w:rsidRPr="00BF7956" w:rsidRDefault="005D07E6" w:rsidP="005D07E6">
            <w:pPr>
              <w:rPr>
                <w:bCs/>
                <w:sz w:val="20"/>
                <w:szCs w:val="20"/>
                <w:lang w:val="ro-RO"/>
              </w:rPr>
            </w:pPr>
            <w:r w:rsidRPr="00BF7956">
              <w:rPr>
                <w:bCs/>
                <w:sz w:val="20"/>
                <w:szCs w:val="20"/>
                <w:lang w:val="ro-RO"/>
              </w:rPr>
              <w:t>Compatibil</w:t>
            </w:r>
          </w:p>
        </w:tc>
        <w:tc>
          <w:tcPr>
            <w:tcW w:w="2223" w:type="dxa"/>
          </w:tcPr>
          <w:p w14:paraId="252D403A" w14:textId="77777777" w:rsidR="005D07E6" w:rsidRPr="00BF7956" w:rsidRDefault="005D07E6" w:rsidP="005D07E6">
            <w:pPr>
              <w:jc w:val="both"/>
              <w:rPr>
                <w:sz w:val="20"/>
                <w:szCs w:val="20"/>
                <w:lang w:val="ro-RO"/>
              </w:rPr>
            </w:pPr>
          </w:p>
        </w:tc>
        <w:tc>
          <w:tcPr>
            <w:tcW w:w="1134" w:type="dxa"/>
            <w:tcBorders>
              <w:top w:val="single" w:sz="4" w:space="0" w:color="auto"/>
              <w:bottom w:val="single" w:sz="4" w:space="0" w:color="auto"/>
            </w:tcBorders>
          </w:tcPr>
          <w:p w14:paraId="5405BEB2" w14:textId="77777777" w:rsidR="005D07E6" w:rsidRPr="00BF7956" w:rsidRDefault="005D07E6" w:rsidP="005D07E6">
            <w:pPr>
              <w:jc w:val="both"/>
              <w:rPr>
                <w:sz w:val="20"/>
                <w:szCs w:val="20"/>
                <w:lang w:val="ro-RO"/>
              </w:rPr>
            </w:pPr>
          </w:p>
        </w:tc>
        <w:tc>
          <w:tcPr>
            <w:tcW w:w="992" w:type="dxa"/>
          </w:tcPr>
          <w:p w14:paraId="7B719365" w14:textId="77777777" w:rsidR="005D07E6" w:rsidRPr="00BF7956" w:rsidRDefault="005D07E6" w:rsidP="005D07E6">
            <w:pPr>
              <w:jc w:val="both"/>
              <w:rPr>
                <w:sz w:val="20"/>
                <w:szCs w:val="20"/>
                <w:lang w:val="ro-RO"/>
              </w:rPr>
            </w:pPr>
          </w:p>
        </w:tc>
      </w:tr>
      <w:tr w:rsidR="005D07E6" w:rsidRPr="00BF7956" w14:paraId="09D0B7E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5D07E6" w:rsidRPr="00BF7956" w14:paraId="7F5A60BE"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2701DF03" w14:textId="1D4F87EF"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0257</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DD538A1" w14:textId="7DB09856"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7EA375A" w14:textId="532F66B0"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Alte active</w:t>
                  </w:r>
                </w:p>
              </w:tc>
            </w:tr>
          </w:tbl>
          <w:p w14:paraId="1EB1E74D" w14:textId="77777777" w:rsidR="005D07E6" w:rsidRPr="00BF7956" w:rsidRDefault="005D07E6" w:rsidP="005D07E6">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5D07E6" w:rsidRPr="00BF7956" w14:paraId="1945ADAE"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07035A26" w14:textId="77777777"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0257</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6A60F1C" w14:textId="77777777"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1.2a.5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B9E76F0" w14:textId="77777777" w:rsidR="005D07E6" w:rsidRPr="00BF7956" w:rsidRDefault="005D07E6" w:rsidP="005D07E6">
                  <w:pPr>
                    <w:pStyle w:val="CM4"/>
                    <w:framePr w:hSpace="180" w:wrap="around" w:vAnchor="text" w:hAnchor="margin" w:y="137"/>
                    <w:spacing w:before="60" w:after="60"/>
                    <w:rPr>
                      <w:i/>
                      <w:iCs/>
                      <w:color w:val="000000"/>
                      <w:sz w:val="20"/>
                      <w:szCs w:val="20"/>
                    </w:rPr>
                  </w:pPr>
                  <w:r w:rsidRPr="00BF7956">
                    <w:rPr>
                      <w:sz w:val="20"/>
                      <w:szCs w:val="20"/>
                    </w:rPr>
                    <w:t>Alte active</w:t>
                  </w:r>
                </w:p>
              </w:tc>
            </w:tr>
          </w:tbl>
          <w:p w14:paraId="2A033B55" w14:textId="77777777" w:rsidR="005D07E6" w:rsidRPr="00BF7956" w:rsidRDefault="005D07E6" w:rsidP="005D07E6">
            <w:pPr>
              <w:pStyle w:val="CM4"/>
              <w:spacing w:before="60" w:after="60"/>
              <w:rPr>
                <w:sz w:val="20"/>
                <w:szCs w:val="20"/>
              </w:rPr>
            </w:pPr>
          </w:p>
        </w:tc>
        <w:tc>
          <w:tcPr>
            <w:tcW w:w="1418" w:type="dxa"/>
          </w:tcPr>
          <w:p w14:paraId="5907F4DC" w14:textId="44819E56" w:rsidR="005D07E6" w:rsidRPr="00BF7956" w:rsidRDefault="005D07E6" w:rsidP="005D07E6">
            <w:pPr>
              <w:rPr>
                <w:bCs/>
                <w:sz w:val="20"/>
                <w:szCs w:val="20"/>
                <w:lang w:val="ro-RO"/>
              </w:rPr>
            </w:pPr>
            <w:r w:rsidRPr="00BF7956">
              <w:rPr>
                <w:bCs/>
                <w:sz w:val="20"/>
                <w:szCs w:val="20"/>
                <w:lang w:val="ro-RO"/>
              </w:rPr>
              <w:t>Compatibil</w:t>
            </w:r>
          </w:p>
        </w:tc>
        <w:tc>
          <w:tcPr>
            <w:tcW w:w="2223" w:type="dxa"/>
          </w:tcPr>
          <w:p w14:paraId="2149729E" w14:textId="77777777" w:rsidR="005D07E6" w:rsidRPr="00BF7956" w:rsidRDefault="005D07E6" w:rsidP="005D07E6">
            <w:pPr>
              <w:jc w:val="both"/>
              <w:rPr>
                <w:sz w:val="20"/>
                <w:szCs w:val="20"/>
                <w:lang w:val="ro-RO"/>
              </w:rPr>
            </w:pPr>
          </w:p>
        </w:tc>
        <w:tc>
          <w:tcPr>
            <w:tcW w:w="1134" w:type="dxa"/>
            <w:tcBorders>
              <w:top w:val="single" w:sz="4" w:space="0" w:color="auto"/>
              <w:bottom w:val="single" w:sz="4" w:space="0" w:color="auto"/>
            </w:tcBorders>
          </w:tcPr>
          <w:p w14:paraId="19BED0F2" w14:textId="77777777" w:rsidR="005D07E6" w:rsidRPr="00BF7956" w:rsidRDefault="005D07E6" w:rsidP="005D07E6">
            <w:pPr>
              <w:jc w:val="both"/>
              <w:rPr>
                <w:sz w:val="20"/>
                <w:szCs w:val="20"/>
                <w:lang w:val="ro-RO"/>
              </w:rPr>
            </w:pPr>
          </w:p>
        </w:tc>
        <w:tc>
          <w:tcPr>
            <w:tcW w:w="992" w:type="dxa"/>
          </w:tcPr>
          <w:p w14:paraId="48629A92" w14:textId="77777777" w:rsidR="005D07E6" w:rsidRPr="00BF7956" w:rsidRDefault="005D07E6" w:rsidP="005D07E6">
            <w:pPr>
              <w:jc w:val="both"/>
              <w:rPr>
                <w:sz w:val="20"/>
                <w:szCs w:val="20"/>
                <w:lang w:val="ro-RO"/>
              </w:rPr>
            </w:pPr>
          </w:p>
        </w:tc>
      </w:tr>
      <w:tr w:rsidR="00850E4E" w:rsidRPr="00BF7956" w14:paraId="65F57D3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C55BE6" w:rsidRPr="002C43F1" w14:paraId="1284784B"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658D1A5" w14:textId="40E9BC3E" w:rsidR="00C55BE6" w:rsidRPr="00BF7956" w:rsidRDefault="00C55BE6" w:rsidP="00C55BE6">
                  <w:pPr>
                    <w:pStyle w:val="CM4"/>
                    <w:framePr w:hSpace="180" w:wrap="around" w:vAnchor="text" w:hAnchor="margin" w:y="137"/>
                    <w:spacing w:before="60" w:after="60"/>
                    <w:rPr>
                      <w:i/>
                      <w:iCs/>
                      <w:color w:val="000000"/>
                      <w:sz w:val="20"/>
                      <w:szCs w:val="20"/>
                    </w:rPr>
                  </w:pPr>
                  <w:r w:rsidRPr="00BF7956">
                    <w:rPr>
                      <w:sz w:val="20"/>
                      <w:szCs w:val="20"/>
                    </w:rPr>
                    <w:t>0260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86F9BFA" w14:textId="37D32953" w:rsidR="00C55BE6" w:rsidRPr="00BF7956" w:rsidRDefault="00C55BE6" w:rsidP="00C55BE6">
                  <w:pPr>
                    <w:pStyle w:val="CM4"/>
                    <w:framePr w:hSpace="180" w:wrap="around" w:vAnchor="text" w:hAnchor="margin" w:y="137"/>
                    <w:spacing w:before="60" w:after="60"/>
                    <w:rPr>
                      <w:i/>
                      <w:iCs/>
                      <w:color w:val="000000"/>
                      <w:sz w:val="20"/>
                      <w:szCs w:val="20"/>
                    </w:rPr>
                  </w:pPr>
                  <w:r w:rsidRPr="00BF7956">
                    <w:rPr>
                      <w:sz w:val="20"/>
                      <w:szCs w:val="20"/>
                    </w:rPr>
                    <w:t>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CBFBB61" w14:textId="0CB8DA2A" w:rsidR="00C55BE6" w:rsidRPr="00BF7956" w:rsidRDefault="00C55BE6" w:rsidP="00C55BE6">
                  <w:pPr>
                    <w:pStyle w:val="CM4"/>
                    <w:framePr w:hSpace="180" w:wrap="around" w:vAnchor="text" w:hAnchor="margin" w:y="137"/>
                    <w:spacing w:before="60" w:after="60"/>
                    <w:rPr>
                      <w:i/>
                      <w:iCs/>
                      <w:color w:val="000000"/>
                      <w:sz w:val="20"/>
                      <w:szCs w:val="20"/>
                    </w:rPr>
                  </w:pPr>
                  <w:r w:rsidRPr="00BF7956">
                    <w:rPr>
                      <w:b/>
                      <w:bCs/>
                      <w:sz w:val="20"/>
                      <w:szCs w:val="20"/>
                    </w:rPr>
                    <w:t>Datorii neraportate la punctul 1.2, rezultate din depozitele primite (exceptând depozitele primite ca garanții reale)</w:t>
                  </w:r>
                </w:p>
              </w:tc>
            </w:tr>
          </w:tbl>
          <w:p w14:paraId="01F8EDE9" w14:textId="77777777" w:rsidR="00850E4E" w:rsidRPr="00BF7956" w:rsidRDefault="00850E4E"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C55BE6" w:rsidRPr="002C43F1" w14:paraId="6489A005"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16E23394" w14:textId="24D2663A" w:rsidR="00C55BE6" w:rsidRPr="00BF7956" w:rsidRDefault="00C55BE6" w:rsidP="00C55BE6">
                  <w:pPr>
                    <w:pStyle w:val="CM4"/>
                    <w:framePr w:hSpace="180" w:wrap="around" w:vAnchor="text" w:hAnchor="margin" w:y="137"/>
                    <w:spacing w:before="60" w:after="60"/>
                    <w:rPr>
                      <w:i/>
                      <w:iCs/>
                      <w:color w:val="000000"/>
                      <w:sz w:val="20"/>
                      <w:szCs w:val="20"/>
                    </w:rPr>
                  </w:pPr>
                  <w:r w:rsidRPr="00BF7956">
                    <w:rPr>
                      <w:sz w:val="20"/>
                      <w:szCs w:val="20"/>
                    </w:rPr>
                    <w:t>0260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EE175BA" w14:textId="6C944EE6" w:rsidR="00C55BE6" w:rsidRPr="00BF7956" w:rsidRDefault="00C55BE6" w:rsidP="00C55BE6">
                  <w:pPr>
                    <w:pStyle w:val="CM4"/>
                    <w:framePr w:hSpace="180" w:wrap="around" w:vAnchor="text" w:hAnchor="margin" w:y="137"/>
                    <w:spacing w:before="60" w:after="60"/>
                    <w:rPr>
                      <w:i/>
                      <w:iCs/>
                      <w:color w:val="000000"/>
                      <w:sz w:val="20"/>
                      <w:szCs w:val="20"/>
                    </w:rPr>
                  </w:pPr>
                  <w:r w:rsidRPr="00BF7956">
                    <w:rPr>
                      <w:sz w:val="20"/>
                      <w:szCs w:val="20"/>
                    </w:rPr>
                    <w:t>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A6E4CEB" w14:textId="1A2617C0" w:rsidR="00C55BE6" w:rsidRPr="00BF7956" w:rsidRDefault="00C55BE6" w:rsidP="00C55BE6">
                  <w:pPr>
                    <w:pStyle w:val="CM4"/>
                    <w:framePr w:hSpace="180" w:wrap="around" w:vAnchor="text" w:hAnchor="margin" w:y="137"/>
                    <w:spacing w:before="60" w:after="60"/>
                    <w:rPr>
                      <w:i/>
                      <w:iCs/>
                      <w:color w:val="000000"/>
                      <w:sz w:val="20"/>
                      <w:szCs w:val="20"/>
                    </w:rPr>
                  </w:pPr>
                  <w:r w:rsidRPr="00BF7956">
                    <w:rPr>
                      <w:b/>
                      <w:bCs/>
                      <w:sz w:val="20"/>
                      <w:szCs w:val="20"/>
                    </w:rPr>
                    <w:t>Datorii neraportate la punctul 1.2, rezultate din depozitele primite (exceptând depozitele primite ca garanții reale)</w:t>
                  </w:r>
                </w:p>
              </w:tc>
            </w:tr>
          </w:tbl>
          <w:p w14:paraId="45CBBFBD" w14:textId="77777777" w:rsidR="00850E4E" w:rsidRPr="00BF7956" w:rsidRDefault="00850E4E" w:rsidP="008E3BA7">
            <w:pPr>
              <w:pStyle w:val="CM4"/>
              <w:spacing w:before="60" w:after="60"/>
              <w:rPr>
                <w:sz w:val="20"/>
                <w:szCs w:val="20"/>
              </w:rPr>
            </w:pPr>
          </w:p>
        </w:tc>
        <w:tc>
          <w:tcPr>
            <w:tcW w:w="1418" w:type="dxa"/>
          </w:tcPr>
          <w:p w14:paraId="34878310" w14:textId="5C1393E0" w:rsidR="00850E4E" w:rsidRPr="00BF7956" w:rsidRDefault="00EB31BE" w:rsidP="008E3BA7">
            <w:pPr>
              <w:rPr>
                <w:bCs/>
                <w:sz w:val="20"/>
                <w:szCs w:val="20"/>
                <w:lang w:val="ro-RO"/>
              </w:rPr>
            </w:pPr>
            <w:r w:rsidRPr="00BF7956">
              <w:rPr>
                <w:bCs/>
                <w:sz w:val="20"/>
                <w:szCs w:val="20"/>
                <w:lang w:val="ro-RO"/>
              </w:rPr>
              <w:t>Compatibil</w:t>
            </w:r>
          </w:p>
        </w:tc>
        <w:tc>
          <w:tcPr>
            <w:tcW w:w="2223" w:type="dxa"/>
          </w:tcPr>
          <w:p w14:paraId="4DBBDFA4" w14:textId="77777777" w:rsidR="00850E4E" w:rsidRPr="00BF7956" w:rsidRDefault="00850E4E" w:rsidP="008E3BA7">
            <w:pPr>
              <w:jc w:val="both"/>
              <w:rPr>
                <w:sz w:val="20"/>
                <w:szCs w:val="20"/>
                <w:lang w:val="ro-RO"/>
              </w:rPr>
            </w:pPr>
          </w:p>
        </w:tc>
        <w:tc>
          <w:tcPr>
            <w:tcW w:w="1134" w:type="dxa"/>
            <w:tcBorders>
              <w:top w:val="single" w:sz="4" w:space="0" w:color="auto"/>
              <w:bottom w:val="single" w:sz="4" w:space="0" w:color="auto"/>
            </w:tcBorders>
          </w:tcPr>
          <w:p w14:paraId="3B7F86D2" w14:textId="77777777" w:rsidR="00850E4E" w:rsidRPr="00BF7956" w:rsidRDefault="00850E4E" w:rsidP="008E3BA7">
            <w:pPr>
              <w:jc w:val="both"/>
              <w:rPr>
                <w:sz w:val="20"/>
                <w:szCs w:val="20"/>
                <w:lang w:val="ro-RO"/>
              </w:rPr>
            </w:pPr>
          </w:p>
        </w:tc>
        <w:tc>
          <w:tcPr>
            <w:tcW w:w="992" w:type="dxa"/>
          </w:tcPr>
          <w:p w14:paraId="266403E0" w14:textId="77777777" w:rsidR="00850E4E" w:rsidRPr="00BF7956" w:rsidRDefault="00850E4E" w:rsidP="008E3BA7">
            <w:pPr>
              <w:jc w:val="both"/>
              <w:rPr>
                <w:sz w:val="20"/>
                <w:szCs w:val="20"/>
                <w:lang w:val="ro-RO"/>
              </w:rPr>
            </w:pPr>
          </w:p>
        </w:tc>
      </w:tr>
      <w:tr w:rsidR="00186E25" w:rsidRPr="002C43F1" w14:paraId="1BFB16C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186E25" w:rsidRPr="002C43F1" w14:paraId="3DE006CC"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23C872BB" w14:textId="339A0BAF"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0261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BE63C6F" w14:textId="45A25EB5"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1.3.1.0</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AA959A0" w14:textId="3BE6B4FD"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646CA5BC" w14:textId="77777777" w:rsidR="00186E25" w:rsidRPr="00BF7956" w:rsidRDefault="00186E25" w:rsidP="00186E25">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186E25" w:rsidRPr="002C43F1" w14:paraId="5235660B"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38659B8" w14:textId="77777777"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0261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42CC5F4" w14:textId="77777777"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1.3.1.0</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4B300E0" w14:textId="77777777"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371F0885" w14:textId="77777777" w:rsidR="00186E25" w:rsidRPr="00BF7956" w:rsidRDefault="00186E25" w:rsidP="00186E25">
            <w:pPr>
              <w:pStyle w:val="CM4"/>
              <w:spacing w:before="60" w:after="60"/>
              <w:rPr>
                <w:sz w:val="20"/>
                <w:szCs w:val="20"/>
              </w:rPr>
            </w:pPr>
          </w:p>
        </w:tc>
        <w:tc>
          <w:tcPr>
            <w:tcW w:w="1418" w:type="dxa"/>
          </w:tcPr>
          <w:p w14:paraId="3C96AD62" w14:textId="00BF5C25" w:rsidR="00186E25" w:rsidRPr="00BF7956" w:rsidRDefault="00186E25" w:rsidP="00186E25">
            <w:pPr>
              <w:rPr>
                <w:bCs/>
                <w:sz w:val="20"/>
                <w:szCs w:val="20"/>
                <w:lang w:val="ro-MD"/>
              </w:rPr>
            </w:pPr>
            <w:r w:rsidRPr="00BF7956">
              <w:rPr>
                <w:bCs/>
                <w:sz w:val="20"/>
                <w:szCs w:val="20"/>
                <w:lang w:val="ro-RO"/>
              </w:rPr>
              <w:t>Necompatibil</w:t>
            </w:r>
          </w:p>
        </w:tc>
        <w:tc>
          <w:tcPr>
            <w:tcW w:w="2223" w:type="dxa"/>
          </w:tcPr>
          <w:p w14:paraId="7B8664FC" w14:textId="483EB974" w:rsidR="00186E25" w:rsidRPr="00BF7956" w:rsidRDefault="00186E25" w:rsidP="00186E25">
            <w:pPr>
              <w:jc w:val="both"/>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6DDD1653" w14:textId="77777777" w:rsidR="00186E25" w:rsidRPr="00BF7956" w:rsidRDefault="00186E25" w:rsidP="00186E25">
            <w:pPr>
              <w:jc w:val="both"/>
              <w:rPr>
                <w:sz w:val="20"/>
                <w:szCs w:val="20"/>
                <w:lang w:val="ro-RO"/>
              </w:rPr>
            </w:pPr>
          </w:p>
        </w:tc>
        <w:tc>
          <w:tcPr>
            <w:tcW w:w="992" w:type="dxa"/>
          </w:tcPr>
          <w:p w14:paraId="55AE54E1" w14:textId="77777777" w:rsidR="00186E25" w:rsidRPr="00BF7956" w:rsidRDefault="00186E25" w:rsidP="00186E25">
            <w:pPr>
              <w:jc w:val="both"/>
              <w:rPr>
                <w:sz w:val="20"/>
                <w:szCs w:val="20"/>
                <w:lang w:val="ro-RO"/>
              </w:rPr>
            </w:pPr>
          </w:p>
        </w:tc>
      </w:tr>
      <w:tr w:rsidR="00850E4E" w:rsidRPr="00BF7956" w14:paraId="3B6442A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EB31BE" w:rsidRPr="00BF7956" w14:paraId="6D68A37F"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17FE8929" w14:textId="16D6E845" w:rsidR="00EB31BE" w:rsidRPr="00BF7956" w:rsidRDefault="00EB31BE" w:rsidP="00EB31BE">
                  <w:pPr>
                    <w:pStyle w:val="CM4"/>
                    <w:framePr w:hSpace="180" w:wrap="around" w:vAnchor="text" w:hAnchor="margin" w:y="137"/>
                    <w:spacing w:before="60" w:after="60"/>
                    <w:rPr>
                      <w:i/>
                      <w:iCs/>
                      <w:color w:val="000000"/>
                      <w:sz w:val="20"/>
                      <w:szCs w:val="20"/>
                    </w:rPr>
                  </w:pPr>
                  <w:r w:rsidRPr="00BF7956">
                    <w:rPr>
                      <w:sz w:val="20"/>
                      <w:szCs w:val="20"/>
                    </w:rPr>
                    <w:lastRenderedPageBreak/>
                    <w:t>0270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AE0A850" w14:textId="2F885D92" w:rsidR="00EB31BE" w:rsidRPr="00BF7956" w:rsidRDefault="00EB31BE" w:rsidP="00EB31BE">
                  <w:pPr>
                    <w:pStyle w:val="CM4"/>
                    <w:framePr w:hSpace="180" w:wrap="around" w:vAnchor="text" w:hAnchor="margin" w:y="137"/>
                    <w:spacing w:before="60" w:after="60"/>
                    <w:rPr>
                      <w:i/>
                      <w:iCs/>
                      <w:color w:val="000000"/>
                      <w:sz w:val="20"/>
                      <w:szCs w:val="20"/>
                    </w:rPr>
                  </w:pPr>
                  <w:r w:rsidRPr="00BF7956">
                    <w:rPr>
                      <w:sz w:val="20"/>
                      <w:szCs w:val="20"/>
                    </w:rPr>
                    <w:t>1.3.1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7A5C44E" w14:textId="04B0DFE1" w:rsidR="00EB31BE" w:rsidRPr="00BF7956" w:rsidRDefault="00EB31BE" w:rsidP="00EB31BE">
                  <w:pPr>
                    <w:pStyle w:val="CM4"/>
                    <w:framePr w:hSpace="180" w:wrap="around" w:vAnchor="text" w:hAnchor="margin" w:y="137"/>
                    <w:spacing w:before="60" w:after="60"/>
                    <w:rPr>
                      <w:i/>
                      <w:iCs/>
                      <w:color w:val="000000"/>
                      <w:sz w:val="20"/>
                      <w:szCs w:val="20"/>
                    </w:rPr>
                  </w:pPr>
                  <w:r w:rsidRPr="00BF7956">
                    <w:rPr>
                      <w:sz w:val="20"/>
                      <w:szCs w:val="20"/>
                    </w:rPr>
                    <w:t>Depozite retail stabile</w:t>
                  </w:r>
                </w:p>
              </w:tc>
            </w:tr>
          </w:tbl>
          <w:p w14:paraId="22B48FFD" w14:textId="77777777" w:rsidR="00850E4E" w:rsidRPr="00BF7956" w:rsidRDefault="00850E4E"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EB31BE" w:rsidRPr="00BF7956" w14:paraId="66D83587"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1A828A9F" w14:textId="77777777" w:rsidR="00EB31BE" w:rsidRPr="00BF7956" w:rsidRDefault="00EB31BE" w:rsidP="00EB31BE">
                  <w:pPr>
                    <w:pStyle w:val="CM4"/>
                    <w:framePr w:hSpace="180" w:wrap="around" w:vAnchor="text" w:hAnchor="margin" w:y="137"/>
                    <w:spacing w:before="60" w:after="60"/>
                    <w:rPr>
                      <w:i/>
                      <w:iCs/>
                      <w:color w:val="000000"/>
                      <w:sz w:val="20"/>
                      <w:szCs w:val="20"/>
                    </w:rPr>
                  </w:pPr>
                  <w:r w:rsidRPr="00BF7956">
                    <w:rPr>
                      <w:sz w:val="20"/>
                      <w:szCs w:val="20"/>
                    </w:rPr>
                    <w:t>0270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D0CC005" w14:textId="77777777" w:rsidR="00EB31BE" w:rsidRPr="00BF7956" w:rsidRDefault="00EB31BE" w:rsidP="00EB31BE">
                  <w:pPr>
                    <w:pStyle w:val="CM4"/>
                    <w:framePr w:hSpace="180" w:wrap="around" w:vAnchor="text" w:hAnchor="margin" w:y="137"/>
                    <w:spacing w:before="60" w:after="60"/>
                    <w:rPr>
                      <w:i/>
                      <w:iCs/>
                      <w:color w:val="000000"/>
                      <w:sz w:val="20"/>
                      <w:szCs w:val="20"/>
                    </w:rPr>
                  </w:pPr>
                  <w:r w:rsidRPr="00BF7956">
                    <w:rPr>
                      <w:sz w:val="20"/>
                      <w:szCs w:val="20"/>
                    </w:rPr>
                    <w:t>1.3.1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D2F3385" w14:textId="77777777" w:rsidR="00EB31BE" w:rsidRPr="00BF7956" w:rsidRDefault="00EB31BE" w:rsidP="00EB31BE">
                  <w:pPr>
                    <w:pStyle w:val="CM4"/>
                    <w:framePr w:hSpace="180" w:wrap="around" w:vAnchor="text" w:hAnchor="margin" w:y="137"/>
                    <w:spacing w:before="60" w:after="60"/>
                    <w:rPr>
                      <w:i/>
                      <w:iCs/>
                      <w:color w:val="000000"/>
                      <w:sz w:val="20"/>
                      <w:szCs w:val="20"/>
                    </w:rPr>
                  </w:pPr>
                  <w:r w:rsidRPr="00BF7956">
                    <w:rPr>
                      <w:sz w:val="20"/>
                      <w:szCs w:val="20"/>
                    </w:rPr>
                    <w:t>Depozite retail stabile</w:t>
                  </w:r>
                </w:p>
              </w:tc>
            </w:tr>
          </w:tbl>
          <w:p w14:paraId="0404A06D" w14:textId="77777777" w:rsidR="00850E4E" w:rsidRPr="00BF7956" w:rsidRDefault="00850E4E" w:rsidP="008E3BA7">
            <w:pPr>
              <w:pStyle w:val="CM4"/>
              <w:spacing w:before="60" w:after="60"/>
              <w:rPr>
                <w:sz w:val="20"/>
                <w:szCs w:val="20"/>
              </w:rPr>
            </w:pPr>
          </w:p>
        </w:tc>
        <w:tc>
          <w:tcPr>
            <w:tcW w:w="1418" w:type="dxa"/>
          </w:tcPr>
          <w:p w14:paraId="408B1BF6" w14:textId="77F8F893" w:rsidR="00850E4E" w:rsidRPr="00BF7956" w:rsidRDefault="00EB31BE" w:rsidP="008E3BA7">
            <w:pPr>
              <w:rPr>
                <w:bCs/>
                <w:sz w:val="20"/>
                <w:szCs w:val="20"/>
                <w:lang w:val="ro-RO"/>
              </w:rPr>
            </w:pPr>
            <w:r w:rsidRPr="00BF7956">
              <w:rPr>
                <w:bCs/>
                <w:sz w:val="20"/>
                <w:szCs w:val="20"/>
                <w:lang w:val="ro-RO"/>
              </w:rPr>
              <w:t>Compatibil</w:t>
            </w:r>
          </w:p>
        </w:tc>
        <w:tc>
          <w:tcPr>
            <w:tcW w:w="2223" w:type="dxa"/>
          </w:tcPr>
          <w:p w14:paraId="33BC8635" w14:textId="77777777" w:rsidR="00850E4E" w:rsidRPr="00BF7956" w:rsidRDefault="00850E4E" w:rsidP="008E3BA7">
            <w:pPr>
              <w:jc w:val="both"/>
              <w:rPr>
                <w:sz w:val="20"/>
                <w:szCs w:val="20"/>
                <w:lang w:val="ro-RO"/>
              </w:rPr>
            </w:pPr>
          </w:p>
        </w:tc>
        <w:tc>
          <w:tcPr>
            <w:tcW w:w="1134" w:type="dxa"/>
            <w:tcBorders>
              <w:top w:val="single" w:sz="4" w:space="0" w:color="auto"/>
              <w:bottom w:val="single" w:sz="4" w:space="0" w:color="auto"/>
            </w:tcBorders>
          </w:tcPr>
          <w:p w14:paraId="627570ED" w14:textId="77777777" w:rsidR="00850E4E" w:rsidRPr="00BF7956" w:rsidRDefault="00850E4E" w:rsidP="008E3BA7">
            <w:pPr>
              <w:jc w:val="both"/>
              <w:rPr>
                <w:sz w:val="20"/>
                <w:szCs w:val="20"/>
                <w:lang w:val="ro-RO"/>
              </w:rPr>
            </w:pPr>
          </w:p>
        </w:tc>
        <w:tc>
          <w:tcPr>
            <w:tcW w:w="992" w:type="dxa"/>
          </w:tcPr>
          <w:p w14:paraId="4E7A0D7D" w14:textId="77777777" w:rsidR="00850E4E" w:rsidRPr="00BF7956" w:rsidRDefault="00850E4E" w:rsidP="008E3BA7">
            <w:pPr>
              <w:jc w:val="both"/>
              <w:rPr>
                <w:sz w:val="20"/>
                <w:szCs w:val="20"/>
                <w:lang w:val="ro-RO"/>
              </w:rPr>
            </w:pPr>
          </w:p>
        </w:tc>
      </w:tr>
      <w:tr w:rsidR="008E3BA7" w:rsidRPr="00BF7956" w14:paraId="6E29AA7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1E4B89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2E2F5EA" w14:textId="19EB580E"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280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800DE96" w14:textId="227F0A5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467EC65" w14:textId="0FA603E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depozite retail</w:t>
                  </w:r>
                </w:p>
              </w:tc>
            </w:tr>
          </w:tbl>
          <w:p w14:paraId="3BAA92E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23A77C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274EDD2" w14:textId="06D4563C"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280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AD44DAE" w14:textId="6DC317E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DB4F57C" w14:textId="6E7DCF0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depozite retail</w:t>
                  </w:r>
                </w:p>
              </w:tc>
            </w:tr>
          </w:tbl>
          <w:p w14:paraId="19D37EF1" w14:textId="77777777" w:rsidR="008E3BA7" w:rsidRPr="00BF7956" w:rsidRDefault="008E3BA7" w:rsidP="008E3BA7">
            <w:pPr>
              <w:pStyle w:val="CM4"/>
              <w:spacing w:before="60" w:after="60"/>
              <w:rPr>
                <w:sz w:val="20"/>
                <w:szCs w:val="20"/>
              </w:rPr>
            </w:pPr>
          </w:p>
        </w:tc>
        <w:tc>
          <w:tcPr>
            <w:tcW w:w="1418" w:type="dxa"/>
          </w:tcPr>
          <w:p w14:paraId="61B9AC28" w14:textId="240B25A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B0E54B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FD5F189" w14:textId="77777777" w:rsidR="008E3BA7" w:rsidRPr="00BF7956" w:rsidRDefault="008E3BA7" w:rsidP="008E3BA7">
            <w:pPr>
              <w:jc w:val="both"/>
              <w:rPr>
                <w:sz w:val="20"/>
                <w:szCs w:val="20"/>
                <w:lang w:val="ro-RO"/>
              </w:rPr>
            </w:pPr>
          </w:p>
        </w:tc>
        <w:tc>
          <w:tcPr>
            <w:tcW w:w="992" w:type="dxa"/>
          </w:tcPr>
          <w:p w14:paraId="2D9FFFEB" w14:textId="77777777" w:rsidR="008E3BA7" w:rsidRPr="00BF7956" w:rsidRDefault="008E3BA7" w:rsidP="008E3BA7">
            <w:pPr>
              <w:jc w:val="both"/>
              <w:rPr>
                <w:sz w:val="20"/>
                <w:szCs w:val="20"/>
                <w:lang w:val="ro-RO"/>
              </w:rPr>
            </w:pPr>
          </w:p>
        </w:tc>
      </w:tr>
      <w:tr w:rsidR="008E3BA7" w:rsidRPr="00BF7956" w14:paraId="0F4A02A0"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2E651C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810FB90" w14:textId="12753D7C"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290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E8F6BA1" w14:textId="70F54D8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F20A853" w14:textId="071700D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operaționale</w:t>
                  </w:r>
                </w:p>
              </w:tc>
            </w:tr>
          </w:tbl>
          <w:p w14:paraId="29A0BA68"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437EAF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8DBAF56" w14:textId="25900A3A"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290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EE235A3" w14:textId="0365034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73054F5" w14:textId="5654FC4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operaționale</w:t>
                  </w:r>
                </w:p>
              </w:tc>
            </w:tr>
          </w:tbl>
          <w:p w14:paraId="161BEE11" w14:textId="77777777" w:rsidR="008E3BA7" w:rsidRPr="00BF7956" w:rsidRDefault="008E3BA7" w:rsidP="008E3BA7">
            <w:pPr>
              <w:pStyle w:val="CM4"/>
              <w:spacing w:before="60" w:after="60"/>
              <w:rPr>
                <w:sz w:val="20"/>
                <w:szCs w:val="20"/>
              </w:rPr>
            </w:pPr>
          </w:p>
        </w:tc>
        <w:tc>
          <w:tcPr>
            <w:tcW w:w="1418" w:type="dxa"/>
          </w:tcPr>
          <w:p w14:paraId="4888C430" w14:textId="5AAFEB1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1DB404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33CB6C9" w14:textId="77777777" w:rsidR="008E3BA7" w:rsidRPr="00BF7956" w:rsidRDefault="008E3BA7" w:rsidP="008E3BA7">
            <w:pPr>
              <w:jc w:val="both"/>
              <w:rPr>
                <w:sz w:val="20"/>
                <w:szCs w:val="20"/>
                <w:lang w:val="ro-RO"/>
              </w:rPr>
            </w:pPr>
          </w:p>
        </w:tc>
        <w:tc>
          <w:tcPr>
            <w:tcW w:w="992" w:type="dxa"/>
          </w:tcPr>
          <w:p w14:paraId="1B3D0733" w14:textId="77777777" w:rsidR="008E3BA7" w:rsidRPr="00BF7956" w:rsidRDefault="008E3BA7" w:rsidP="008E3BA7">
            <w:pPr>
              <w:jc w:val="both"/>
              <w:rPr>
                <w:sz w:val="20"/>
                <w:szCs w:val="20"/>
                <w:lang w:val="ro-RO"/>
              </w:rPr>
            </w:pPr>
          </w:p>
        </w:tc>
      </w:tr>
      <w:tr w:rsidR="008E3BA7" w:rsidRPr="00BF7956" w14:paraId="495FE7F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BA7ABD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8C1E872" w14:textId="06387392"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1FF5C57" w14:textId="6138BC7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C866A44" w14:textId="7A98CBF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instituții de credit</w:t>
                  </w:r>
                </w:p>
              </w:tc>
            </w:tr>
          </w:tbl>
          <w:p w14:paraId="7BFED360"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0BC5B8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A790C2F" w14:textId="35AE0F5E"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0D54B41" w14:textId="4C4C57F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1B4D0D5" w14:textId="2ED4F4B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bănci</w:t>
                  </w:r>
                </w:p>
              </w:tc>
            </w:tr>
          </w:tbl>
          <w:p w14:paraId="7A000C79" w14:textId="77777777" w:rsidR="008E3BA7" w:rsidRPr="00BF7956" w:rsidRDefault="008E3BA7" w:rsidP="008E3BA7">
            <w:pPr>
              <w:pStyle w:val="CM4"/>
              <w:spacing w:before="60" w:after="60"/>
              <w:rPr>
                <w:sz w:val="20"/>
                <w:szCs w:val="20"/>
              </w:rPr>
            </w:pPr>
          </w:p>
        </w:tc>
        <w:tc>
          <w:tcPr>
            <w:tcW w:w="1418" w:type="dxa"/>
          </w:tcPr>
          <w:p w14:paraId="6EEB6EDF" w14:textId="43922E2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909570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65C5E51" w14:textId="77777777" w:rsidR="008E3BA7" w:rsidRPr="00BF7956" w:rsidRDefault="008E3BA7" w:rsidP="008E3BA7">
            <w:pPr>
              <w:jc w:val="both"/>
              <w:rPr>
                <w:sz w:val="20"/>
                <w:szCs w:val="20"/>
                <w:lang w:val="ro-RO"/>
              </w:rPr>
            </w:pPr>
          </w:p>
        </w:tc>
        <w:tc>
          <w:tcPr>
            <w:tcW w:w="992" w:type="dxa"/>
          </w:tcPr>
          <w:p w14:paraId="309B1ACD" w14:textId="77777777" w:rsidR="008E3BA7" w:rsidRPr="00BF7956" w:rsidRDefault="008E3BA7" w:rsidP="008E3BA7">
            <w:pPr>
              <w:jc w:val="both"/>
              <w:rPr>
                <w:sz w:val="20"/>
                <w:szCs w:val="20"/>
                <w:lang w:val="ro-RO"/>
              </w:rPr>
            </w:pPr>
          </w:p>
        </w:tc>
      </w:tr>
      <w:tr w:rsidR="008E3BA7" w:rsidRPr="00BF7956" w14:paraId="12BF2BE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028F45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50F8C26" w14:textId="7E679C59"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0808CA8" w14:textId="320FFA5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EA0F6CE" w14:textId="44BA24B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alți clienți financiari</w:t>
                  </w:r>
                </w:p>
              </w:tc>
            </w:tr>
          </w:tbl>
          <w:p w14:paraId="1C07E4D3"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25E1DF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E3337C0" w14:textId="0D10FCC2"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DEEA1C9" w14:textId="0584DCA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6C1581C" w14:textId="14BFF9A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alți clienți financiari</w:t>
                  </w:r>
                </w:p>
              </w:tc>
            </w:tr>
          </w:tbl>
          <w:p w14:paraId="75E22500"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FB27399" w14:textId="5A01877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C09A57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91EEF27" w14:textId="77777777" w:rsidR="008E3BA7" w:rsidRPr="00BF7956" w:rsidRDefault="008E3BA7" w:rsidP="008E3BA7">
            <w:pPr>
              <w:jc w:val="both"/>
              <w:rPr>
                <w:sz w:val="20"/>
                <w:szCs w:val="20"/>
                <w:lang w:val="ro-RO"/>
              </w:rPr>
            </w:pPr>
          </w:p>
        </w:tc>
        <w:tc>
          <w:tcPr>
            <w:tcW w:w="992" w:type="dxa"/>
          </w:tcPr>
          <w:p w14:paraId="52C961F1" w14:textId="77777777" w:rsidR="008E3BA7" w:rsidRPr="00BF7956" w:rsidRDefault="008E3BA7" w:rsidP="008E3BA7">
            <w:pPr>
              <w:jc w:val="both"/>
              <w:rPr>
                <w:sz w:val="20"/>
                <w:szCs w:val="20"/>
                <w:lang w:val="ro-RO"/>
              </w:rPr>
            </w:pPr>
          </w:p>
        </w:tc>
      </w:tr>
      <w:tr w:rsidR="008E3BA7" w:rsidRPr="00BF7956" w14:paraId="3B129E5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D88F21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28D06DD" w14:textId="7CCC3025"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74D326A" w14:textId="798062F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793D617" w14:textId="214B6DF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bănci centrale</w:t>
                  </w:r>
                </w:p>
              </w:tc>
            </w:tr>
          </w:tbl>
          <w:p w14:paraId="6BDCEB73"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132D48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6EC27B2" w14:textId="2728E103"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CBBB99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8CBE59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bănci centrale</w:t>
                  </w:r>
                </w:p>
              </w:tc>
            </w:tr>
          </w:tbl>
          <w:p w14:paraId="15418494" w14:textId="77777777" w:rsidR="008E3BA7" w:rsidRPr="00BF7956" w:rsidRDefault="008E3BA7" w:rsidP="008E3BA7">
            <w:pPr>
              <w:pStyle w:val="CM4"/>
              <w:spacing w:before="60" w:after="60"/>
              <w:rPr>
                <w:sz w:val="20"/>
                <w:szCs w:val="20"/>
                <w:lang w:val="it-IT"/>
              </w:rPr>
            </w:pPr>
          </w:p>
        </w:tc>
        <w:tc>
          <w:tcPr>
            <w:tcW w:w="1418" w:type="dxa"/>
          </w:tcPr>
          <w:p w14:paraId="0D87E787" w14:textId="07B7301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1C9DDA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848ADE1" w14:textId="77777777" w:rsidR="008E3BA7" w:rsidRPr="00BF7956" w:rsidRDefault="008E3BA7" w:rsidP="008E3BA7">
            <w:pPr>
              <w:jc w:val="both"/>
              <w:rPr>
                <w:sz w:val="20"/>
                <w:szCs w:val="20"/>
                <w:lang w:val="ro-RO"/>
              </w:rPr>
            </w:pPr>
          </w:p>
        </w:tc>
        <w:tc>
          <w:tcPr>
            <w:tcW w:w="992" w:type="dxa"/>
          </w:tcPr>
          <w:p w14:paraId="0743474A" w14:textId="77777777" w:rsidR="008E3BA7" w:rsidRPr="00BF7956" w:rsidRDefault="008E3BA7" w:rsidP="008E3BA7">
            <w:pPr>
              <w:jc w:val="both"/>
              <w:rPr>
                <w:sz w:val="20"/>
                <w:szCs w:val="20"/>
                <w:lang w:val="ro-RO"/>
              </w:rPr>
            </w:pPr>
          </w:p>
        </w:tc>
      </w:tr>
      <w:tr w:rsidR="008E3BA7" w:rsidRPr="00BF7956" w14:paraId="7EC12D5C"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940DAB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9BB5B7B" w14:textId="08699128"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3B14756" w14:textId="0E477B9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30A9D4A" w14:textId="1D7A22B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societăți nefinanciare</w:t>
                  </w:r>
                </w:p>
              </w:tc>
            </w:tr>
          </w:tbl>
          <w:p w14:paraId="6F6D6833"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F38AFF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8EFCB02" w14:textId="05E0876B"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24BEFA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636CBE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societăți nefinanciare</w:t>
                  </w:r>
                </w:p>
              </w:tc>
            </w:tr>
          </w:tbl>
          <w:p w14:paraId="5343519B" w14:textId="77777777" w:rsidR="008E3BA7" w:rsidRPr="00BF7956" w:rsidRDefault="008E3BA7" w:rsidP="008E3BA7">
            <w:pPr>
              <w:pStyle w:val="CM4"/>
              <w:spacing w:before="60" w:after="60"/>
              <w:rPr>
                <w:sz w:val="20"/>
                <w:szCs w:val="20"/>
                <w:lang w:val="it-IT"/>
              </w:rPr>
            </w:pPr>
          </w:p>
        </w:tc>
        <w:tc>
          <w:tcPr>
            <w:tcW w:w="1418" w:type="dxa"/>
          </w:tcPr>
          <w:p w14:paraId="589E827F" w14:textId="19BC6A8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4011E2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9EE73BE" w14:textId="77777777" w:rsidR="008E3BA7" w:rsidRPr="00BF7956" w:rsidRDefault="008E3BA7" w:rsidP="008E3BA7">
            <w:pPr>
              <w:jc w:val="both"/>
              <w:rPr>
                <w:sz w:val="20"/>
                <w:szCs w:val="20"/>
                <w:lang w:val="ro-RO"/>
              </w:rPr>
            </w:pPr>
          </w:p>
        </w:tc>
        <w:tc>
          <w:tcPr>
            <w:tcW w:w="992" w:type="dxa"/>
          </w:tcPr>
          <w:p w14:paraId="5BDB14FE" w14:textId="77777777" w:rsidR="008E3BA7" w:rsidRPr="00BF7956" w:rsidRDefault="008E3BA7" w:rsidP="008E3BA7">
            <w:pPr>
              <w:jc w:val="both"/>
              <w:rPr>
                <w:sz w:val="20"/>
                <w:szCs w:val="20"/>
                <w:lang w:val="ro-RO"/>
              </w:rPr>
            </w:pPr>
          </w:p>
        </w:tc>
      </w:tr>
      <w:tr w:rsidR="008E3BA7" w:rsidRPr="00BF7956" w14:paraId="73D4BD5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66032D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812F56B" w14:textId="37B962B2"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A5DF566" w14:textId="08F206C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19BF058" w14:textId="5423191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alte contrapărți</w:t>
                  </w:r>
                </w:p>
              </w:tc>
            </w:tr>
          </w:tbl>
          <w:p w14:paraId="231A211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8224FE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CC5F1EA" w14:textId="06F28E22"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0DEAB6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1.3.8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962389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Depozite neoperaționale atrase de la alte contrapărți</w:t>
                  </w:r>
                </w:p>
              </w:tc>
            </w:tr>
          </w:tbl>
          <w:p w14:paraId="3C74C893" w14:textId="77777777" w:rsidR="008E3BA7" w:rsidRPr="00BF7956" w:rsidRDefault="008E3BA7" w:rsidP="008E3BA7">
            <w:pPr>
              <w:pStyle w:val="CM4"/>
              <w:spacing w:before="60" w:after="60"/>
              <w:rPr>
                <w:sz w:val="20"/>
                <w:szCs w:val="20"/>
              </w:rPr>
            </w:pPr>
          </w:p>
        </w:tc>
        <w:tc>
          <w:tcPr>
            <w:tcW w:w="1418" w:type="dxa"/>
          </w:tcPr>
          <w:p w14:paraId="673F78FB" w14:textId="6C4F68C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9111D4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09C5247" w14:textId="77777777" w:rsidR="008E3BA7" w:rsidRPr="00BF7956" w:rsidRDefault="008E3BA7" w:rsidP="008E3BA7">
            <w:pPr>
              <w:jc w:val="both"/>
              <w:rPr>
                <w:sz w:val="20"/>
                <w:szCs w:val="20"/>
                <w:lang w:val="ro-RO"/>
              </w:rPr>
            </w:pPr>
          </w:p>
        </w:tc>
        <w:tc>
          <w:tcPr>
            <w:tcW w:w="992" w:type="dxa"/>
          </w:tcPr>
          <w:p w14:paraId="380D5DD0" w14:textId="77777777" w:rsidR="008E3BA7" w:rsidRPr="00BF7956" w:rsidRDefault="008E3BA7" w:rsidP="008E3BA7">
            <w:pPr>
              <w:jc w:val="both"/>
              <w:rPr>
                <w:sz w:val="20"/>
                <w:szCs w:val="20"/>
                <w:lang w:val="ro-RO"/>
              </w:rPr>
            </w:pPr>
          </w:p>
        </w:tc>
      </w:tr>
      <w:tr w:rsidR="008E3BA7" w:rsidRPr="00BF7956" w14:paraId="719A0540"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D178C6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38B37E7" w14:textId="552B58E7"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EEC4B91" w14:textId="778C3344"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A1BF1CA" w14:textId="4E51DE38"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Swap-uri valutare care ajung la scadență</w:t>
                  </w:r>
                </w:p>
              </w:tc>
            </w:tr>
          </w:tbl>
          <w:p w14:paraId="08171965"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BA8BEF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0959400" w14:textId="5D4388D6"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55BA52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7DCC61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Swap-uri valutare care ajung la scadență</w:t>
                  </w:r>
                </w:p>
              </w:tc>
            </w:tr>
          </w:tbl>
          <w:p w14:paraId="7935EE9C" w14:textId="77777777" w:rsidR="008E3BA7" w:rsidRPr="00BF7956" w:rsidRDefault="008E3BA7" w:rsidP="008E3BA7">
            <w:pPr>
              <w:pStyle w:val="CM4"/>
              <w:spacing w:before="60" w:after="60"/>
              <w:rPr>
                <w:sz w:val="20"/>
                <w:szCs w:val="20"/>
                <w:lang w:val="it-IT"/>
              </w:rPr>
            </w:pPr>
          </w:p>
        </w:tc>
        <w:tc>
          <w:tcPr>
            <w:tcW w:w="1418" w:type="dxa"/>
          </w:tcPr>
          <w:p w14:paraId="250FDC59" w14:textId="3D745D4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C84F79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41BD4C4" w14:textId="77777777" w:rsidR="008E3BA7" w:rsidRPr="00BF7956" w:rsidRDefault="008E3BA7" w:rsidP="008E3BA7">
            <w:pPr>
              <w:jc w:val="both"/>
              <w:rPr>
                <w:sz w:val="20"/>
                <w:szCs w:val="20"/>
                <w:lang w:val="ro-RO"/>
              </w:rPr>
            </w:pPr>
          </w:p>
        </w:tc>
        <w:tc>
          <w:tcPr>
            <w:tcW w:w="992" w:type="dxa"/>
          </w:tcPr>
          <w:p w14:paraId="7ABE4CEC" w14:textId="77777777" w:rsidR="008E3BA7" w:rsidRPr="00BF7956" w:rsidRDefault="008E3BA7" w:rsidP="008E3BA7">
            <w:pPr>
              <w:jc w:val="both"/>
              <w:rPr>
                <w:sz w:val="20"/>
                <w:szCs w:val="20"/>
                <w:lang w:val="ro-RO"/>
              </w:rPr>
            </w:pPr>
          </w:p>
        </w:tc>
      </w:tr>
      <w:tr w:rsidR="008E3BA7" w:rsidRPr="00BF7956" w14:paraId="745B3C8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18D4C6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B712F57" w14:textId="36CB7ADF"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0320F19" w14:textId="0CB8E8F0"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B79FA8A" w14:textId="1F605790"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Sume de plătit aferente instrumentelor financiare derivate, altele decât cele raportate la punctul 1.4</w:t>
                  </w:r>
                </w:p>
              </w:tc>
            </w:tr>
          </w:tbl>
          <w:p w14:paraId="10DF85A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9CAF86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096D328" w14:textId="4E4E4D8D"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52F62F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5F4C23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Sume de plătit aferente instrumentelor financiare derivate, altele decât cele raportate la punctul 1.4</w:t>
                  </w:r>
                </w:p>
              </w:tc>
            </w:tr>
          </w:tbl>
          <w:p w14:paraId="6A17D659" w14:textId="77777777" w:rsidR="008E3BA7" w:rsidRPr="00BF7956" w:rsidRDefault="008E3BA7" w:rsidP="008E3BA7">
            <w:pPr>
              <w:pStyle w:val="CM4"/>
              <w:spacing w:before="60" w:after="60"/>
              <w:rPr>
                <w:sz w:val="20"/>
                <w:szCs w:val="20"/>
                <w:lang w:val="it-IT"/>
              </w:rPr>
            </w:pPr>
          </w:p>
        </w:tc>
        <w:tc>
          <w:tcPr>
            <w:tcW w:w="1418" w:type="dxa"/>
          </w:tcPr>
          <w:p w14:paraId="2F86FD62" w14:textId="342C7BA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8B3656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546013A" w14:textId="77777777" w:rsidR="008E3BA7" w:rsidRPr="00BF7956" w:rsidRDefault="008E3BA7" w:rsidP="008E3BA7">
            <w:pPr>
              <w:jc w:val="both"/>
              <w:rPr>
                <w:sz w:val="20"/>
                <w:szCs w:val="20"/>
                <w:lang w:val="ro-RO"/>
              </w:rPr>
            </w:pPr>
          </w:p>
        </w:tc>
        <w:tc>
          <w:tcPr>
            <w:tcW w:w="992" w:type="dxa"/>
          </w:tcPr>
          <w:p w14:paraId="29A9DB9F" w14:textId="77777777" w:rsidR="008E3BA7" w:rsidRPr="00BF7956" w:rsidRDefault="008E3BA7" w:rsidP="008E3BA7">
            <w:pPr>
              <w:jc w:val="both"/>
              <w:rPr>
                <w:sz w:val="20"/>
                <w:szCs w:val="20"/>
                <w:lang w:val="ro-RO"/>
              </w:rPr>
            </w:pPr>
          </w:p>
        </w:tc>
      </w:tr>
      <w:tr w:rsidR="008E3BA7" w:rsidRPr="00BF7956" w14:paraId="52F164C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7D5AC3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4B92E8A" w14:textId="313EDCD7"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F3B282B" w14:textId="5670C34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B80D0C3" w14:textId="22B4A86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Alte ieșiri</w:t>
                  </w:r>
                </w:p>
              </w:tc>
            </w:tr>
          </w:tbl>
          <w:p w14:paraId="33C428F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E91B87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213591D" w14:textId="453C61C3"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B4E74B8" w14:textId="601422C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BE07FBF" w14:textId="7BFFE121"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Alte ieșiri</w:t>
                  </w:r>
                </w:p>
              </w:tc>
            </w:tr>
          </w:tbl>
          <w:p w14:paraId="0764EE18" w14:textId="77777777" w:rsidR="008E3BA7" w:rsidRPr="00BF7956" w:rsidRDefault="008E3BA7" w:rsidP="008E3BA7">
            <w:pPr>
              <w:pStyle w:val="CM4"/>
              <w:spacing w:before="60" w:after="60"/>
              <w:rPr>
                <w:sz w:val="20"/>
                <w:szCs w:val="20"/>
                <w:lang w:val="en-US"/>
              </w:rPr>
            </w:pPr>
          </w:p>
        </w:tc>
        <w:tc>
          <w:tcPr>
            <w:tcW w:w="1418" w:type="dxa"/>
          </w:tcPr>
          <w:p w14:paraId="460EB814" w14:textId="77710FA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DB8BB4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2F618E4" w14:textId="77777777" w:rsidR="008E3BA7" w:rsidRPr="00BF7956" w:rsidRDefault="008E3BA7" w:rsidP="008E3BA7">
            <w:pPr>
              <w:jc w:val="both"/>
              <w:rPr>
                <w:sz w:val="20"/>
                <w:szCs w:val="20"/>
                <w:lang w:val="ro-RO"/>
              </w:rPr>
            </w:pPr>
          </w:p>
        </w:tc>
        <w:tc>
          <w:tcPr>
            <w:tcW w:w="992" w:type="dxa"/>
          </w:tcPr>
          <w:p w14:paraId="6625CB34" w14:textId="77777777" w:rsidR="008E3BA7" w:rsidRPr="00BF7956" w:rsidRDefault="008E3BA7" w:rsidP="008E3BA7">
            <w:pPr>
              <w:jc w:val="both"/>
              <w:rPr>
                <w:sz w:val="20"/>
                <w:szCs w:val="20"/>
                <w:lang w:val="ro-RO"/>
              </w:rPr>
            </w:pPr>
          </w:p>
        </w:tc>
      </w:tr>
      <w:tr w:rsidR="008E3BA7" w:rsidRPr="00BF7956" w14:paraId="2AA9F2C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F03628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B3BCE75" w14:textId="2984D9A0"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06C45AF" w14:textId="0A82B228"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4BA029E" w14:textId="423A76A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Total ieșiri</w:t>
                  </w:r>
                </w:p>
              </w:tc>
            </w:tr>
          </w:tbl>
          <w:p w14:paraId="2613226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B194A9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94555D8" w14:textId="021A89C2"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3FB0BD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10154A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Total ieșiri</w:t>
                  </w:r>
                </w:p>
              </w:tc>
            </w:tr>
          </w:tbl>
          <w:p w14:paraId="471CBC9D" w14:textId="77777777" w:rsidR="008E3BA7" w:rsidRPr="00BF7956" w:rsidRDefault="008E3BA7" w:rsidP="008E3BA7">
            <w:pPr>
              <w:pStyle w:val="CM4"/>
              <w:spacing w:before="60" w:after="60"/>
              <w:rPr>
                <w:sz w:val="20"/>
                <w:szCs w:val="20"/>
              </w:rPr>
            </w:pPr>
          </w:p>
        </w:tc>
        <w:tc>
          <w:tcPr>
            <w:tcW w:w="1418" w:type="dxa"/>
          </w:tcPr>
          <w:p w14:paraId="347CA708" w14:textId="47733CE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D20A92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9056547" w14:textId="77777777" w:rsidR="008E3BA7" w:rsidRPr="00BF7956" w:rsidRDefault="008E3BA7" w:rsidP="008E3BA7">
            <w:pPr>
              <w:jc w:val="both"/>
              <w:rPr>
                <w:sz w:val="20"/>
                <w:szCs w:val="20"/>
                <w:lang w:val="ro-RO"/>
              </w:rPr>
            </w:pPr>
          </w:p>
        </w:tc>
        <w:tc>
          <w:tcPr>
            <w:tcW w:w="992" w:type="dxa"/>
          </w:tcPr>
          <w:p w14:paraId="3F0B2C29" w14:textId="77777777" w:rsidR="008E3BA7" w:rsidRPr="00BF7956" w:rsidRDefault="008E3BA7" w:rsidP="008E3BA7">
            <w:pPr>
              <w:jc w:val="both"/>
              <w:rPr>
                <w:sz w:val="20"/>
                <w:szCs w:val="20"/>
                <w:lang w:val="ro-RO"/>
              </w:rPr>
            </w:pPr>
          </w:p>
        </w:tc>
      </w:tr>
      <w:tr w:rsidR="008E3BA7" w:rsidRPr="00BF7956" w14:paraId="1FD29FD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19DF48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FE6D97C" w14:textId="030A8017" w:rsidR="008E3BA7" w:rsidRPr="00BF7956" w:rsidRDefault="00EB31BE" w:rsidP="008E3BA7">
                  <w:pPr>
                    <w:pStyle w:val="CM4"/>
                    <w:framePr w:hSpace="180" w:wrap="around" w:vAnchor="text" w:hAnchor="margin" w:y="137"/>
                    <w:spacing w:before="60" w:after="60"/>
                    <w:rPr>
                      <w:i/>
                      <w:iCs/>
                      <w:color w:val="000000"/>
                      <w:sz w:val="20"/>
                      <w:szCs w:val="20"/>
                    </w:rPr>
                  </w:pPr>
                  <w:r w:rsidRPr="00BF7956">
                    <w:rPr>
                      <w:b/>
                      <w:bCs/>
                      <w:sz w:val="20"/>
                      <w:szCs w:val="20"/>
                    </w:rPr>
                    <w:t>0</w:t>
                  </w:r>
                  <w:r w:rsidR="008E3BA7" w:rsidRPr="00BF7956">
                    <w:rPr>
                      <w:b/>
                      <w:bCs/>
                      <w:sz w:val="20"/>
                      <w:szCs w:val="20"/>
                    </w:rPr>
                    <w:t>390-</w:t>
                  </w:r>
                  <w:r w:rsidRPr="00BF7956">
                    <w:rPr>
                      <w:b/>
                      <w:bCs/>
                      <w:sz w:val="20"/>
                      <w:szCs w:val="20"/>
                    </w:rPr>
                    <w:t>0</w:t>
                  </w:r>
                  <w:r w:rsidR="008E3BA7" w:rsidRPr="00BF7956">
                    <w:rPr>
                      <w:b/>
                      <w:bCs/>
                      <w:sz w:val="20"/>
                      <w:szCs w:val="20"/>
                    </w:rPr>
                    <w:t>720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6325618" w14:textId="6CB2E9E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41DADB6" w14:textId="60394DD9"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INTRĂRI</w:t>
                  </w:r>
                </w:p>
              </w:tc>
            </w:tr>
          </w:tbl>
          <w:p w14:paraId="304B447D"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B0F1D5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9436538" w14:textId="72FC3FA6" w:rsidR="008E3BA7" w:rsidRPr="00BF7956" w:rsidRDefault="00EB31BE" w:rsidP="008E3BA7">
                  <w:pPr>
                    <w:pStyle w:val="CM4"/>
                    <w:framePr w:hSpace="180" w:wrap="around" w:vAnchor="text" w:hAnchor="margin" w:y="137"/>
                    <w:spacing w:before="60" w:after="60"/>
                    <w:rPr>
                      <w:i/>
                      <w:iCs/>
                      <w:color w:val="000000"/>
                      <w:sz w:val="20"/>
                      <w:szCs w:val="20"/>
                    </w:rPr>
                  </w:pPr>
                  <w:r w:rsidRPr="00BF7956">
                    <w:rPr>
                      <w:b/>
                      <w:bCs/>
                      <w:sz w:val="20"/>
                      <w:szCs w:val="20"/>
                    </w:rPr>
                    <w:t>0</w:t>
                  </w:r>
                  <w:r w:rsidR="008E3BA7" w:rsidRPr="00BF7956">
                    <w:rPr>
                      <w:b/>
                      <w:bCs/>
                      <w:sz w:val="20"/>
                      <w:szCs w:val="20"/>
                    </w:rPr>
                    <w:t>390-</w:t>
                  </w:r>
                  <w:r w:rsidRPr="00BF7956">
                    <w:rPr>
                      <w:b/>
                      <w:bCs/>
                      <w:sz w:val="20"/>
                      <w:szCs w:val="20"/>
                    </w:rPr>
                    <w:t>0</w:t>
                  </w:r>
                  <w:r w:rsidR="008E3BA7" w:rsidRPr="00BF7956">
                    <w:rPr>
                      <w:b/>
                      <w:bCs/>
                      <w:sz w:val="20"/>
                      <w:szCs w:val="20"/>
                    </w:rPr>
                    <w:t>720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98ECE9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698480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INTRĂRI</w:t>
                  </w:r>
                </w:p>
              </w:tc>
            </w:tr>
          </w:tbl>
          <w:p w14:paraId="528F38D7" w14:textId="77777777" w:rsidR="008E3BA7" w:rsidRPr="00BF7956" w:rsidRDefault="008E3BA7" w:rsidP="008E3BA7">
            <w:pPr>
              <w:pStyle w:val="CM4"/>
              <w:spacing w:before="60" w:after="60"/>
              <w:rPr>
                <w:sz w:val="20"/>
                <w:szCs w:val="20"/>
              </w:rPr>
            </w:pPr>
          </w:p>
        </w:tc>
        <w:tc>
          <w:tcPr>
            <w:tcW w:w="1418" w:type="dxa"/>
          </w:tcPr>
          <w:p w14:paraId="5B846A3E" w14:textId="2AF4982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1ECBA1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1AB0D71" w14:textId="77777777" w:rsidR="008E3BA7" w:rsidRPr="00BF7956" w:rsidRDefault="008E3BA7" w:rsidP="008E3BA7">
            <w:pPr>
              <w:jc w:val="both"/>
              <w:rPr>
                <w:sz w:val="20"/>
                <w:szCs w:val="20"/>
                <w:lang w:val="ro-RO"/>
              </w:rPr>
            </w:pPr>
          </w:p>
        </w:tc>
        <w:tc>
          <w:tcPr>
            <w:tcW w:w="992" w:type="dxa"/>
          </w:tcPr>
          <w:p w14:paraId="4A2F9E24" w14:textId="77777777" w:rsidR="008E3BA7" w:rsidRPr="00BF7956" w:rsidRDefault="008E3BA7" w:rsidP="008E3BA7">
            <w:pPr>
              <w:jc w:val="both"/>
              <w:rPr>
                <w:sz w:val="20"/>
                <w:szCs w:val="20"/>
                <w:lang w:val="ro-RO"/>
              </w:rPr>
            </w:pPr>
          </w:p>
        </w:tc>
      </w:tr>
      <w:tr w:rsidR="008E3BA7" w:rsidRPr="00BF7956" w14:paraId="4075D82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B857EF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3BB084E" w14:textId="6D03A32D"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390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93A7EB1" w14:textId="54665653"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41B046B" w14:textId="304C4A3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 xml:space="preserve">Sume de primit în urma unor tranzacții de creditare garantată și operațiuni ajustate </w:t>
                  </w:r>
                  <w:r w:rsidRPr="00BF7956">
                    <w:rPr>
                      <w:b/>
                      <w:bCs/>
                      <w:sz w:val="20"/>
                      <w:szCs w:val="20"/>
                    </w:rPr>
                    <w:lastRenderedPageBreak/>
                    <w:t>la condițiile pieței de capital garantate cu:</w:t>
                  </w:r>
                </w:p>
              </w:tc>
            </w:tr>
          </w:tbl>
          <w:p w14:paraId="1521C8F8"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64F846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3301E72" w14:textId="53D34AA3" w:rsidR="008E3BA7" w:rsidRPr="00BF7956" w:rsidRDefault="00EB31BE" w:rsidP="008E3BA7">
                  <w:pPr>
                    <w:pStyle w:val="CM4"/>
                    <w:framePr w:hSpace="180" w:wrap="around" w:vAnchor="text" w:hAnchor="margin" w:y="137"/>
                    <w:spacing w:before="60" w:after="60"/>
                    <w:rPr>
                      <w:i/>
                      <w:iCs/>
                      <w:color w:val="000000"/>
                      <w:sz w:val="20"/>
                      <w:szCs w:val="20"/>
                    </w:rPr>
                  </w:pPr>
                  <w:r w:rsidRPr="00BF7956">
                    <w:rPr>
                      <w:sz w:val="20"/>
                      <w:szCs w:val="20"/>
                    </w:rPr>
                    <w:lastRenderedPageBreak/>
                    <w:t>039</w:t>
                  </w:r>
                  <w:r w:rsidR="00FF5106" w:rsidRPr="00BF7956">
                    <w:rPr>
                      <w:sz w:val="20"/>
                      <w:szCs w:val="20"/>
                    </w:rPr>
                    <w:t>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80CC9F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DABE3C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 xml:space="preserve">Sume de primit în urma unor tranzacții de creditare garantată și operațiuni ajustate </w:t>
                  </w:r>
                  <w:r w:rsidRPr="00BF7956">
                    <w:rPr>
                      <w:b/>
                      <w:bCs/>
                      <w:sz w:val="20"/>
                      <w:szCs w:val="20"/>
                    </w:rPr>
                    <w:lastRenderedPageBreak/>
                    <w:t>la condițiile pieței de capital garantate cu:</w:t>
                  </w:r>
                </w:p>
              </w:tc>
            </w:tr>
          </w:tbl>
          <w:p w14:paraId="4C27874B"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237E20BD" w14:textId="047CE988" w:rsidR="008E3BA7" w:rsidRPr="00BF7956" w:rsidRDefault="008E3BA7" w:rsidP="008E3BA7">
            <w:pPr>
              <w:rPr>
                <w:b/>
                <w:strike/>
                <w:sz w:val="20"/>
                <w:szCs w:val="20"/>
                <w:lang w:val="ro-RO"/>
              </w:rPr>
            </w:pPr>
            <w:r w:rsidRPr="00BF7956">
              <w:rPr>
                <w:bCs/>
                <w:sz w:val="20"/>
                <w:szCs w:val="20"/>
                <w:lang w:val="ro-RO"/>
              </w:rPr>
              <w:lastRenderedPageBreak/>
              <w:t>Compatibil</w:t>
            </w:r>
          </w:p>
        </w:tc>
        <w:tc>
          <w:tcPr>
            <w:tcW w:w="2223" w:type="dxa"/>
          </w:tcPr>
          <w:p w14:paraId="38BAB9F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E7E1C1D" w14:textId="77777777" w:rsidR="008E3BA7" w:rsidRPr="00BF7956" w:rsidRDefault="008E3BA7" w:rsidP="008E3BA7">
            <w:pPr>
              <w:jc w:val="both"/>
              <w:rPr>
                <w:sz w:val="20"/>
                <w:szCs w:val="20"/>
                <w:lang w:val="ro-RO"/>
              </w:rPr>
            </w:pPr>
          </w:p>
        </w:tc>
        <w:tc>
          <w:tcPr>
            <w:tcW w:w="992" w:type="dxa"/>
          </w:tcPr>
          <w:p w14:paraId="77097261" w14:textId="77777777" w:rsidR="008E3BA7" w:rsidRPr="00BF7956" w:rsidRDefault="008E3BA7" w:rsidP="008E3BA7">
            <w:pPr>
              <w:jc w:val="both"/>
              <w:rPr>
                <w:sz w:val="20"/>
                <w:szCs w:val="20"/>
                <w:lang w:val="ro-RO"/>
              </w:rPr>
            </w:pPr>
          </w:p>
        </w:tc>
      </w:tr>
      <w:tr w:rsidR="00186E25" w:rsidRPr="002C43F1" w14:paraId="2712BD0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186E25" w:rsidRPr="002C43F1" w14:paraId="0B1ED72B"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7ED4105" w14:textId="17B42909"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0391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3E446D8" w14:textId="67A37F5B"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2.1.0.1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77E80C5" w14:textId="3162F12A"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661F8E71" w14:textId="77777777" w:rsidR="00186E25" w:rsidRPr="00BF7956" w:rsidRDefault="00186E25" w:rsidP="00186E25">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186E25" w:rsidRPr="002C43F1" w14:paraId="534A6DD6"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4321325A" w14:textId="760D3EFB"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0391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B9576B7" w14:textId="51513849"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2.1.0.1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F84A62" w14:textId="1DA92D4D" w:rsidR="00186E25" w:rsidRPr="00BF7956" w:rsidRDefault="00186E25" w:rsidP="00186E25">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63A87C8F" w14:textId="77777777" w:rsidR="00186E25" w:rsidRPr="00BF7956" w:rsidRDefault="00186E25" w:rsidP="00186E25">
            <w:pPr>
              <w:pStyle w:val="CM4"/>
              <w:spacing w:before="60" w:after="60"/>
              <w:rPr>
                <w:sz w:val="20"/>
                <w:szCs w:val="20"/>
                <w:lang w:val="en-US"/>
              </w:rPr>
            </w:pPr>
          </w:p>
        </w:tc>
        <w:tc>
          <w:tcPr>
            <w:tcW w:w="1418" w:type="dxa"/>
          </w:tcPr>
          <w:p w14:paraId="51BF6F49" w14:textId="333607B0" w:rsidR="00186E25" w:rsidRPr="00BF7956" w:rsidRDefault="00186E25" w:rsidP="00186E25">
            <w:pPr>
              <w:rPr>
                <w:bCs/>
                <w:sz w:val="20"/>
                <w:szCs w:val="20"/>
                <w:lang w:val="ro-RO"/>
              </w:rPr>
            </w:pPr>
            <w:r w:rsidRPr="00BF7956">
              <w:rPr>
                <w:bCs/>
                <w:sz w:val="20"/>
                <w:szCs w:val="20"/>
                <w:lang w:val="ro-RO"/>
              </w:rPr>
              <w:t>Necompatibil</w:t>
            </w:r>
          </w:p>
        </w:tc>
        <w:tc>
          <w:tcPr>
            <w:tcW w:w="2223" w:type="dxa"/>
          </w:tcPr>
          <w:p w14:paraId="381D2E98" w14:textId="3AD1AE99" w:rsidR="00186E25" w:rsidRPr="00BF7956" w:rsidRDefault="00186E25" w:rsidP="00186E25">
            <w:pPr>
              <w:jc w:val="both"/>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52914659" w14:textId="77777777" w:rsidR="00186E25" w:rsidRPr="00BF7956" w:rsidRDefault="00186E25" w:rsidP="00186E25">
            <w:pPr>
              <w:jc w:val="both"/>
              <w:rPr>
                <w:sz w:val="20"/>
                <w:szCs w:val="20"/>
                <w:lang w:val="ro-RO"/>
              </w:rPr>
            </w:pPr>
          </w:p>
        </w:tc>
        <w:tc>
          <w:tcPr>
            <w:tcW w:w="992" w:type="dxa"/>
          </w:tcPr>
          <w:p w14:paraId="2A44A8F6" w14:textId="77777777" w:rsidR="00186E25" w:rsidRPr="00BF7956" w:rsidRDefault="00186E25" w:rsidP="00186E25">
            <w:pPr>
              <w:jc w:val="both"/>
              <w:rPr>
                <w:sz w:val="20"/>
                <w:szCs w:val="20"/>
                <w:lang w:val="ro-RO"/>
              </w:rPr>
            </w:pPr>
          </w:p>
        </w:tc>
      </w:tr>
      <w:tr w:rsidR="008E3BA7" w:rsidRPr="00BF7956" w14:paraId="7F155DC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737187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B63F057" w14:textId="3F3B16B0"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4081F0F" w14:textId="0DB0E0E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69C5A0A" w14:textId="6C0CDA8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00F71DD6"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492304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0C1DA20" w14:textId="2776A728"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7D9CC8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8814C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23404BF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4AF4FE5" w14:textId="4717BB1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498F1A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A7A58DE" w14:textId="77777777" w:rsidR="008E3BA7" w:rsidRPr="00BF7956" w:rsidRDefault="008E3BA7" w:rsidP="008E3BA7">
            <w:pPr>
              <w:jc w:val="both"/>
              <w:rPr>
                <w:sz w:val="20"/>
                <w:szCs w:val="20"/>
                <w:lang w:val="ro-RO"/>
              </w:rPr>
            </w:pPr>
          </w:p>
        </w:tc>
        <w:tc>
          <w:tcPr>
            <w:tcW w:w="992" w:type="dxa"/>
          </w:tcPr>
          <w:p w14:paraId="42B0435F" w14:textId="77777777" w:rsidR="008E3BA7" w:rsidRPr="00BF7956" w:rsidRDefault="008E3BA7" w:rsidP="008E3BA7">
            <w:pPr>
              <w:jc w:val="both"/>
              <w:rPr>
                <w:sz w:val="20"/>
                <w:szCs w:val="20"/>
                <w:lang w:val="ro-RO"/>
              </w:rPr>
            </w:pPr>
          </w:p>
        </w:tc>
      </w:tr>
      <w:tr w:rsidR="008E3BA7" w:rsidRPr="00BF7956" w14:paraId="7B21B10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833E65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7B13C42" w14:textId="14BE9053"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56172F7" w14:textId="3AC18F5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684300B" w14:textId="77CE7A5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exceptând obligațiunile garantate</w:t>
                  </w:r>
                </w:p>
              </w:tc>
            </w:tr>
          </w:tbl>
          <w:p w14:paraId="6077892D"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899BDE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924B757" w14:textId="536C9ECE"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09A48D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EA325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exceptând obligațiunile garantate</w:t>
                  </w:r>
                </w:p>
              </w:tc>
            </w:tr>
          </w:tbl>
          <w:p w14:paraId="64D670BE"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11B00A5C" w14:textId="7470E2B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98A1D0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2885276" w14:textId="77777777" w:rsidR="008E3BA7" w:rsidRPr="00BF7956" w:rsidRDefault="008E3BA7" w:rsidP="008E3BA7">
            <w:pPr>
              <w:jc w:val="both"/>
              <w:rPr>
                <w:sz w:val="20"/>
                <w:szCs w:val="20"/>
                <w:lang w:val="ro-RO"/>
              </w:rPr>
            </w:pPr>
          </w:p>
        </w:tc>
        <w:tc>
          <w:tcPr>
            <w:tcW w:w="992" w:type="dxa"/>
          </w:tcPr>
          <w:p w14:paraId="32D04632" w14:textId="77777777" w:rsidR="008E3BA7" w:rsidRPr="00BF7956" w:rsidRDefault="008E3BA7" w:rsidP="008E3BA7">
            <w:pPr>
              <w:jc w:val="both"/>
              <w:rPr>
                <w:sz w:val="20"/>
                <w:szCs w:val="20"/>
                <w:lang w:val="ro-RO"/>
              </w:rPr>
            </w:pPr>
          </w:p>
        </w:tc>
      </w:tr>
      <w:tr w:rsidR="008E3BA7" w:rsidRPr="00BF7956" w14:paraId="2EB7B5A2"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42F5E8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A17A6D7" w14:textId="4D6AAA08"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86851C9" w14:textId="222E579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5165108" w14:textId="4BDF272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aferente băncilor centrale</w:t>
                  </w:r>
                </w:p>
              </w:tc>
            </w:tr>
          </w:tbl>
          <w:p w14:paraId="6564900A"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FCD477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7137F62" w14:textId="106B8B20"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20A857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8AF7FF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aferente băncilor centrale</w:t>
                  </w:r>
                </w:p>
              </w:tc>
            </w:tr>
          </w:tbl>
          <w:p w14:paraId="5DF6B6A8"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5CCA41DE" w14:textId="29B5F79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64DBEA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F9736A6" w14:textId="77777777" w:rsidR="008E3BA7" w:rsidRPr="00BF7956" w:rsidRDefault="008E3BA7" w:rsidP="008E3BA7">
            <w:pPr>
              <w:jc w:val="both"/>
              <w:rPr>
                <w:sz w:val="20"/>
                <w:szCs w:val="20"/>
                <w:lang w:val="ro-RO"/>
              </w:rPr>
            </w:pPr>
          </w:p>
        </w:tc>
        <w:tc>
          <w:tcPr>
            <w:tcW w:w="992" w:type="dxa"/>
          </w:tcPr>
          <w:p w14:paraId="67186A6D" w14:textId="77777777" w:rsidR="008E3BA7" w:rsidRPr="00BF7956" w:rsidRDefault="008E3BA7" w:rsidP="008E3BA7">
            <w:pPr>
              <w:jc w:val="both"/>
              <w:rPr>
                <w:sz w:val="20"/>
                <w:szCs w:val="20"/>
                <w:lang w:val="ro-RO"/>
              </w:rPr>
            </w:pPr>
          </w:p>
        </w:tc>
      </w:tr>
      <w:tr w:rsidR="008E3BA7" w:rsidRPr="00BF7956" w14:paraId="78B010D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E66E98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84AF500" w14:textId="6EEC75D2"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EA60087" w14:textId="5E21B6E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16F1AE0" w14:textId="37D22F2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 1)</w:t>
                  </w:r>
                </w:p>
              </w:tc>
            </w:tr>
          </w:tbl>
          <w:p w14:paraId="1688682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8DC33F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5C67A6D" w14:textId="7CA09B4E"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A5374F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EBC4CD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 1)</w:t>
                  </w:r>
                </w:p>
              </w:tc>
            </w:tr>
          </w:tbl>
          <w:p w14:paraId="0A119A5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05A7EC0" w14:textId="44E7705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ABD7DB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28CB9E3" w14:textId="77777777" w:rsidR="008E3BA7" w:rsidRPr="00BF7956" w:rsidRDefault="008E3BA7" w:rsidP="008E3BA7">
            <w:pPr>
              <w:jc w:val="both"/>
              <w:rPr>
                <w:sz w:val="20"/>
                <w:szCs w:val="20"/>
                <w:lang w:val="ro-RO"/>
              </w:rPr>
            </w:pPr>
          </w:p>
        </w:tc>
        <w:tc>
          <w:tcPr>
            <w:tcW w:w="992" w:type="dxa"/>
          </w:tcPr>
          <w:p w14:paraId="0BC3FC3B" w14:textId="77777777" w:rsidR="008E3BA7" w:rsidRPr="00BF7956" w:rsidRDefault="008E3BA7" w:rsidP="008E3BA7">
            <w:pPr>
              <w:jc w:val="both"/>
              <w:rPr>
                <w:sz w:val="20"/>
                <w:szCs w:val="20"/>
                <w:lang w:val="ro-RO"/>
              </w:rPr>
            </w:pPr>
          </w:p>
        </w:tc>
      </w:tr>
      <w:tr w:rsidR="008E3BA7" w:rsidRPr="00BF7956" w14:paraId="5494C65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206525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D18C384" w14:textId="78D24D6D"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A118E00" w14:textId="7DE4E19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E8150D2" w14:textId="4F7EECF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(CQS2, CQS3)</w:t>
                  </w:r>
                </w:p>
              </w:tc>
            </w:tr>
          </w:tbl>
          <w:p w14:paraId="5887087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55F2A0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2B048FE" w14:textId="5F9C5A0C"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FED0A5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3B1C1A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(CQS2, CQS3)</w:t>
                  </w:r>
                </w:p>
              </w:tc>
            </w:tr>
          </w:tbl>
          <w:p w14:paraId="4F5D2B80"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45ABF04" w14:textId="7DCD53F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85EDD6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A60E0A2" w14:textId="77777777" w:rsidR="008E3BA7" w:rsidRPr="00BF7956" w:rsidRDefault="008E3BA7" w:rsidP="008E3BA7">
            <w:pPr>
              <w:jc w:val="both"/>
              <w:rPr>
                <w:sz w:val="20"/>
                <w:szCs w:val="20"/>
                <w:lang w:val="ro-RO"/>
              </w:rPr>
            </w:pPr>
          </w:p>
        </w:tc>
        <w:tc>
          <w:tcPr>
            <w:tcW w:w="992" w:type="dxa"/>
          </w:tcPr>
          <w:p w14:paraId="11967860" w14:textId="77777777" w:rsidR="008E3BA7" w:rsidRPr="00BF7956" w:rsidRDefault="008E3BA7" w:rsidP="008E3BA7">
            <w:pPr>
              <w:jc w:val="both"/>
              <w:rPr>
                <w:sz w:val="20"/>
                <w:szCs w:val="20"/>
                <w:lang w:val="ro-RO"/>
              </w:rPr>
            </w:pPr>
          </w:p>
        </w:tc>
      </w:tr>
      <w:tr w:rsidR="008E3BA7" w:rsidRPr="00BF7956" w14:paraId="0E505D9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F142FC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790D8F3" w14:textId="378F4734"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ADFAEDB" w14:textId="17754B5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243D377" w14:textId="3E5E9E4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(CQS4+)</w:t>
                  </w:r>
                </w:p>
              </w:tc>
            </w:tr>
          </w:tbl>
          <w:p w14:paraId="1FD83FA6"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2CC2DB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655AE22" w14:textId="1A09AF49"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00607B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264097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(CQS4+)</w:t>
                  </w:r>
                </w:p>
              </w:tc>
            </w:tr>
          </w:tbl>
          <w:p w14:paraId="460E773B"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400E78E" w14:textId="491B9BA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1BFF34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BE3AEB9" w14:textId="77777777" w:rsidR="008E3BA7" w:rsidRPr="00BF7956" w:rsidRDefault="008E3BA7" w:rsidP="008E3BA7">
            <w:pPr>
              <w:jc w:val="both"/>
              <w:rPr>
                <w:sz w:val="20"/>
                <w:szCs w:val="20"/>
                <w:lang w:val="ro-RO"/>
              </w:rPr>
            </w:pPr>
          </w:p>
        </w:tc>
        <w:tc>
          <w:tcPr>
            <w:tcW w:w="992" w:type="dxa"/>
          </w:tcPr>
          <w:p w14:paraId="48B2CC31" w14:textId="77777777" w:rsidR="008E3BA7" w:rsidRPr="00BF7956" w:rsidRDefault="008E3BA7" w:rsidP="008E3BA7">
            <w:pPr>
              <w:jc w:val="both"/>
              <w:rPr>
                <w:sz w:val="20"/>
                <w:szCs w:val="20"/>
                <w:lang w:val="ro-RO"/>
              </w:rPr>
            </w:pPr>
          </w:p>
        </w:tc>
      </w:tr>
      <w:tr w:rsidR="008E3BA7" w:rsidRPr="002C43F1" w14:paraId="0345D132"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FA79FB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DD6D514" w14:textId="421BD076"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5B939A8" w14:textId="76A1A28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DE5B042" w14:textId="3DEB325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1 (CQS 1)</w:t>
                  </w:r>
                </w:p>
              </w:tc>
            </w:tr>
          </w:tbl>
          <w:p w14:paraId="339A7CD3"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647254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CF8DBCD" w14:textId="1F4BDF00"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215224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D12A0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1 (CQS 1)</w:t>
                  </w:r>
                </w:p>
              </w:tc>
            </w:tr>
          </w:tbl>
          <w:p w14:paraId="48B38743" w14:textId="77777777" w:rsidR="008E3BA7" w:rsidRPr="00BF7956" w:rsidRDefault="008E3BA7" w:rsidP="008E3BA7">
            <w:pPr>
              <w:pStyle w:val="CM4"/>
              <w:spacing w:before="60" w:after="60"/>
              <w:rPr>
                <w:sz w:val="20"/>
                <w:szCs w:val="20"/>
                <w:lang w:val="it-IT"/>
              </w:rPr>
            </w:pPr>
          </w:p>
        </w:tc>
        <w:tc>
          <w:tcPr>
            <w:tcW w:w="1418" w:type="dxa"/>
          </w:tcPr>
          <w:p w14:paraId="2A5902A9" w14:textId="4B1010A3"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563D40EE" w14:textId="77777777" w:rsidR="008E3BA7" w:rsidRPr="00BF7956" w:rsidRDefault="008E3BA7" w:rsidP="008E3BA7">
            <w:pPr>
              <w:rPr>
                <w:rFonts w:eastAsia="Calibri"/>
                <w:sz w:val="20"/>
                <w:szCs w:val="20"/>
                <w:lang w:val="ro-RO" w:eastAsia="en-US"/>
              </w:rPr>
            </w:pPr>
            <w:r w:rsidRPr="00BF7956">
              <w:rPr>
                <w:rFonts w:eastAsia="Calibri"/>
                <w:sz w:val="20"/>
                <w:szCs w:val="20"/>
                <w:lang w:val="ro-RO" w:eastAsia="en-US"/>
              </w:rPr>
              <w:t xml:space="preserve">Prevederile aferente obligațiunilor garantate nu au fost transpuse, deoarece obligațiunile garantate, în prezent la nivelul Republicii Moldova nu sunt reglementate de cadrul primar aferent desfășurării acestor </w:t>
            </w:r>
            <w:r w:rsidRPr="00BF7956">
              <w:rPr>
                <w:rFonts w:eastAsia="Calibri"/>
                <w:sz w:val="20"/>
                <w:szCs w:val="20"/>
                <w:lang w:val="ro-RO" w:eastAsia="en-US"/>
              </w:rPr>
              <w:lastRenderedPageBreak/>
              <w:t>operațiuni, elaborarea căruia este de competența CNPF.</w:t>
            </w:r>
          </w:p>
          <w:p w14:paraId="33C7E7C2" w14:textId="03AAFC9B" w:rsidR="008E3BA7" w:rsidRPr="00BF7956" w:rsidRDefault="008E3BA7" w:rsidP="008E3BA7">
            <w:pPr>
              <w:rPr>
                <w:sz w:val="20"/>
                <w:szCs w:val="20"/>
                <w:lang w:val="ro-RO"/>
              </w:rPr>
            </w:pPr>
          </w:p>
        </w:tc>
        <w:tc>
          <w:tcPr>
            <w:tcW w:w="1134" w:type="dxa"/>
            <w:tcBorders>
              <w:top w:val="single" w:sz="4" w:space="0" w:color="auto"/>
              <w:bottom w:val="single" w:sz="4" w:space="0" w:color="auto"/>
            </w:tcBorders>
          </w:tcPr>
          <w:p w14:paraId="1712D991" w14:textId="77777777" w:rsidR="008E3BA7" w:rsidRPr="00BF7956" w:rsidRDefault="008E3BA7" w:rsidP="008E3BA7">
            <w:pPr>
              <w:jc w:val="both"/>
              <w:rPr>
                <w:sz w:val="20"/>
                <w:szCs w:val="20"/>
                <w:lang w:val="ro-RO"/>
              </w:rPr>
            </w:pPr>
          </w:p>
        </w:tc>
        <w:tc>
          <w:tcPr>
            <w:tcW w:w="992" w:type="dxa"/>
          </w:tcPr>
          <w:p w14:paraId="49314C38" w14:textId="77777777" w:rsidR="008E3BA7" w:rsidRPr="00BF7956" w:rsidRDefault="008E3BA7" w:rsidP="008E3BA7">
            <w:pPr>
              <w:jc w:val="both"/>
              <w:rPr>
                <w:sz w:val="20"/>
                <w:szCs w:val="20"/>
                <w:lang w:val="ro-RO"/>
              </w:rPr>
            </w:pPr>
          </w:p>
        </w:tc>
      </w:tr>
      <w:tr w:rsidR="008E3BA7" w:rsidRPr="00BF7956" w14:paraId="665B5A3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836F7B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CA794E9" w14:textId="43490974"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4088FAE" w14:textId="25EB3A8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77CC24D" w14:textId="68C3579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2A</w:t>
                  </w:r>
                </w:p>
              </w:tc>
            </w:tr>
          </w:tbl>
          <w:p w14:paraId="4B17ACA9"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57C899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D9DD83B" w14:textId="3A840991"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B7D4DB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11A355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2A</w:t>
                  </w:r>
                </w:p>
              </w:tc>
            </w:tr>
          </w:tbl>
          <w:p w14:paraId="6647AA48" w14:textId="77777777" w:rsidR="008E3BA7" w:rsidRPr="00BF7956" w:rsidRDefault="008E3BA7" w:rsidP="008E3BA7">
            <w:pPr>
              <w:pStyle w:val="CM4"/>
              <w:spacing w:before="60" w:after="60"/>
              <w:rPr>
                <w:sz w:val="20"/>
                <w:szCs w:val="20"/>
                <w:lang w:val="en-US"/>
              </w:rPr>
            </w:pPr>
          </w:p>
        </w:tc>
        <w:tc>
          <w:tcPr>
            <w:tcW w:w="1418" w:type="dxa"/>
          </w:tcPr>
          <w:p w14:paraId="665C72A8" w14:textId="28B8BE8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3A7837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C6ACC9C" w14:textId="77777777" w:rsidR="008E3BA7" w:rsidRPr="00BF7956" w:rsidRDefault="008E3BA7" w:rsidP="008E3BA7">
            <w:pPr>
              <w:jc w:val="both"/>
              <w:rPr>
                <w:sz w:val="20"/>
                <w:szCs w:val="20"/>
                <w:lang w:val="ro-RO"/>
              </w:rPr>
            </w:pPr>
          </w:p>
        </w:tc>
        <w:tc>
          <w:tcPr>
            <w:tcW w:w="992" w:type="dxa"/>
          </w:tcPr>
          <w:p w14:paraId="383863D9" w14:textId="77777777" w:rsidR="008E3BA7" w:rsidRPr="00BF7956" w:rsidRDefault="008E3BA7" w:rsidP="008E3BA7">
            <w:pPr>
              <w:jc w:val="both"/>
              <w:rPr>
                <w:sz w:val="20"/>
                <w:szCs w:val="20"/>
                <w:lang w:val="ro-RO"/>
              </w:rPr>
            </w:pPr>
          </w:p>
        </w:tc>
      </w:tr>
      <w:tr w:rsidR="008E3BA7" w:rsidRPr="00BF7956" w14:paraId="3CDDC89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30D7B6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FCAD990" w14:textId="71C8EA4A"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4094339" w14:textId="4803DE0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264E0B6" w14:textId="61E88B2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2A (CQS1)</w:t>
                  </w:r>
                </w:p>
              </w:tc>
            </w:tr>
          </w:tbl>
          <w:p w14:paraId="12544BA0"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92CF83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31DEE20" w14:textId="17D4062D"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E453C7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12C3D0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2A (CQS1)</w:t>
                  </w:r>
                </w:p>
              </w:tc>
            </w:tr>
          </w:tbl>
          <w:p w14:paraId="46E5E449" w14:textId="77777777" w:rsidR="008E3BA7" w:rsidRPr="00BF7956" w:rsidRDefault="008E3BA7" w:rsidP="008E3BA7">
            <w:pPr>
              <w:pStyle w:val="CM4"/>
              <w:spacing w:before="60" w:after="60"/>
              <w:rPr>
                <w:sz w:val="20"/>
                <w:szCs w:val="20"/>
                <w:lang w:val="it-IT"/>
              </w:rPr>
            </w:pPr>
          </w:p>
        </w:tc>
        <w:tc>
          <w:tcPr>
            <w:tcW w:w="1418" w:type="dxa"/>
          </w:tcPr>
          <w:p w14:paraId="7C738FF8" w14:textId="5272970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86719E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65A6441" w14:textId="77777777" w:rsidR="008E3BA7" w:rsidRPr="00BF7956" w:rsidRDefault="008E3BA7" w:rsidP="008E3BA7">
            <w:pPr>
              <w:jc w:val="both"/>
              <w:rPr>
                <w:sz w:val="20"/>
                <w:szCs w:val="20"/>
                <w:lang w:val="ro-RO"/>
              </w:rPr>
            </w:pPr>
          </w:p>
        </w:tc>
        <w:tc>
          <w:tcPr>
            <w:tcW w:w="992" w:type="dxa"/>
          </w:tcPr>
          <w:p w14:paraId="74C4CC47" w14:textId="77777777" w:rsidR="008E3BA7" w:rsidRPr="00BF7956" w:rsidRDefault="008E3BA7" w:rsidP="008E3BA7">
            <w:pPr>
              <w:jc w:val="both"/>
              <w:rPr>
                <w:sz w:val="20"/>
                <w:szCs w:val="20"/>
                <w:lang w:val="ro-RO"/>
              </w:rPr>
            </w:pPr>
          </w:p>
        </w:tc>
      </w:tr>
      <w:tr w:rsidR="008E3BA7" w:rsidRPr="002C43F1" w14:paraId="5F0443CF"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D147F8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7435391" w14:textId="2A56C758"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CE9A9E9" w14:textId="561C735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B281E06" w14:textId="21BA2C5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2A (CQS 1, CQS 2)</w:t>
                  </w:r>
                </w:p>
              </w:tc>
            </w:tr>
          </w:tbl>
          <w:p w14:paraId="77D62792"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114157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37F6BAC" w14:textId="28160EB2"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490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A52595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43A066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2A (CQS 1, CQS 2)</w:t>
                  </w:r>
                </w:p>
              </w:tc>
            </w:tr>
          </w:tbl>
          <w:p w14:paraId="6DB90C3D" w14:textId="77777777" w:rsidR="008E3BA7" w:rsidRPr="00BF7956" w:rsidRDefault="008E3BA7" w:rsidP="008E3BA7">
            <w:pPr>
              <w:pStyle w:val="CM4"/>
              <w:spacing w:before="60" w:after="60"/>
              <w:rPr>
                <w:sz w:val="20"/>
                <w:szCs w:val="20"/>
                <w:lang w:val="it-IT"/>
              </w:rPr>
            </w:pPr>
          </w:p>
        </w:tc>
        <w:tc>
          <w:tcPr>
            <w:tcW w:w="1418" w:type="dxa"/>
          </w:tcPr>
          <w:p w14:paraId="6F177845" w14:textId="3C7FF2C9"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726DCF7F" w14:textId="5CBD4C96"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79BE32A5" w14:textId="77777777" w:rsidR="008E3BA7" w:rsidRPr="00BF7956" w:rsidRDefault="008E3BA7" w:rsidP="008E3BA7">
            <w:pPr>
              <w:jc w:val="both"/>
              <w:rPr>
                <w:sz w:val="20"/>
                <w:szCs w:val="20"/>
                <w:lang w:val="ro-RO"/>
              </w:rPr>
            </w:pPr>
          </w:p>
        </w:tc>
        <w:tc>
          <w:tcPr>
            <w:tcW w:w="992" w:type="dxa"/>
          </w:tcPr>
          <w:p w14:paraId="10A9D95B" w14:textId="77777777" w:rsidR="008E3BA7" w:rsidRPr="00BF7956" w:rsidRDefault="008E3BA7" w:rsidP="008E3BA7">
            <w:pPr>
              <w:jc w:val="both"/>
              <w:rPr>
                <w:sz w:val="20"/>
                <w:szCs w:val="20"/>
                <w:lang w:val="ro-RO"/>
              </w:rPr>
            </w:pPr>
          </w:p>
        </w:tc>
      </w:tr>
      <w:tr w:rsidR="008E3BA7" w:rsidRPr="00BF7956" w14:paraId="4AE4BB2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92B701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66C61F6" w14:textId="607C5449"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6F6FC00" w14:textId="33AC5BF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C2E597B" w14:textId="1790C5B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2A aferente sectorului public (CQS 1, CQS 2)</w:t>
                  </w:r>
                </w:p>
              </w:tc>
            </w:tr>
          </w:tbl>
          <w:p w14:paraId="6E334832"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85E1BB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63715FE" w14:textId="0044C414"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A53B00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795C97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2A aferente sectorului public (CQS 1, CQS 2)</w:t>
                  </w:r>
                </w:p>
              </w:tc>
            </w:tr>
          </w:tbl>
          <w:p w14:paraId="4065A3A2" w14:textId="77777777" w:rsidR="008E3BA7" w:rsidRPr="00BF7956" w:rsidRDefault="008E3BA7" w:rsidP="008E3BA7">
            <w:pPr>
              <w:pStyle w:val="CM4"/>
              <w:spacing w:before="60" w:after="60"/>
              <w:rPr>
                <w:sz w:val="20"/>
                <w:szCs w:val="20"/>
                <w:lang w:val="en-US"/>
              </w:rPr>
            </w:pPr>
          </w:p>
        </w:tc>
        <w:tc>
          <w:tcPr>
            <w:tcW w:w="1418" w:type="dxa"/>
          </w:tcPr>
          <w:p w14:paraId="16434AA8" w14:textId="7CD15E0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E93C97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6A51ADE" w14:textId="77777777" w:rsidR="008E3BA7" w:rsidRPr="00BF7956" w:rsidRDefault="008E3BA7" w:rsidP="008E3BA7">
            <w:pPr>
              <w:jc w:val="both"/>
              <w:rPr>
                <w:sz w:val="20"/>
                <w:szCs w:val="20"/>
                <w:lang w:val="ro-RO"/>
              </w:rPr>
            </w:pPr>
          </w:p>
        </w:tc>
        <w:tc>
          <w:tcPr>
            <w:tcW w:w="992" w:type="dxa"/>
          </w:tcPr>
          <w:p w14:paraId="3704B6C7" w14:textId="77777777" w:rsidR="008E3BA7" w:rsidRPr="00BF7956" w:rsidRDefault="008E3BA7" w:rsidP="008E3BA7">
            <w:pPr>
              <w:jc w:val="both"/>
              <w:rPr>
                <w:sz w:val="20"/>
                <w:szCs w:val="20"/>
                <w:lang w:val="ro-RO"/>
              </w:rPr>
            </w:pPr>
          </w:p>
        </w:tc>
      </w:tr>
      <w:tr w:rsidR="008E3BA7" w:rsidRPr="00BF7956" w14:paraId="1F4A85E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C53017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278FDB9" w14:textId="3A9C1C4A"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6AA7F58" w14:textId="1EFE644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5E42457" w14:textId="1EC6751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2B</w:t>
                  </w:r>
                </w:p>
              </w:tc>
            </w:tr>
          </w:tbl>
          <w:p w14:paraId="2DA4BA9D"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ADEE9B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6FD692A" w14:textId="647F06F3"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2B8381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04D91C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2B</w:t>
                  </w:r>
                </w:p>
              </w:tc>
            </w:tr>
          </w:tbl>
          <w:p w14:paraId="2397EC0F" w14:textId="77777777" w:rsidR="008E3BA7" w:rsidRPr="00BF7956" w:rsidRDefault="008E3BA7" w:rsidP="008E3BA7">
            <w:pPr>
              <w:pStyle w:val="CM4"/>
              <w:spacing w:before="60" w:after="60"/>
              <w:rPr>
                <w:sz w:val="20"/>
                <w:szCs w:val="20"/>
                <w:lang w:val="it-IT"/>
              </w:rPr>
            </w:pPr>
          </w:p>
        </w:tc>
        <w:tc>
          <w:tcPr>
            <w:tcW w:w="1418" w:type="dxa"/>
          </w:tcPr>
          <w:p w14:paraId="1647B8D2" w14:textId="0711E26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889FAB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0637786" w14:textId="77777777" w:rsidR="008E3BA7" w:rsidRPr="00BF7956" w:rsidRDefault="008E3BA7" w:rsidP="008E3BA7">
            <w:pPr>
              <w:jc w:val="both"/>
              <w:rPr>
                <w:sz w:val="20"/>
                <w:szCs w:val="20"/>
                <w:lang w:val="ro-RO"/>
              </w:rPr>
            </w:pPr>
          </w:p>
        </w:tc>
        <w:tc>
          <w:tcPr>
            <w:tcW w:w="992" w:type="dxa"/>
          </w:tcPr>
          <w:p w14:paraId="42ED28FF" w14:textId="77777777" w:rsidR="008E3BA7" w:rsidRPr="00BF7956" w:rsidRDefault="008E3BA7" w:rsidP="008E3BA7">
            <w:pPr>
              <w:jc w:val="both"/>
              <w:rPr>
                <w:sz w:val="20"/>
                <w:szCs w:val="20"/>
                <w:lang w:val="ro-RO"/>
              </w:rPr>
            </w:pPr>
          </w:p>
        </w:tc>
      </w:tr>
      <w:tr w:rsidR="008E3BA7" w:rsidRPr="002C43F1" w14:paraId="12E2C15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112CC1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76CD0C1" w14:textId="2474A4B2"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4916CBC" w14:textId="4574B09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A051C12" w14:textId="29645C4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ABS de nivel 2B (CQS 1)</w:t>
                  </w:r>
                </w:p>
              </w:tc>
            </w:tr>
          </w:tbl>
          <w:p w14:paraId="51B86FAA"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6638DC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C963304" w14:textId="09B94F17"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930166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4D7D06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ABS de nivel 2B (CQS 1)</w:t>
                  </w:r>
                </w:p>
              </w:tc>
            </w:tr>
          </w:tbl>
          <w:p w14:paraId="2BA09E0E" w14:textId="77777777" w:rsidR="008E3BA7" w:rsidRPr="00BF7956" w:rsidRDefault="008E3BA7" w:rsidP="008E3BA7">
            <w:pPr>
              <w:pStyle w:val="CM4"/>
              <w:spacing w:before="60" w:after="60"/>
              <w:rPr>
                <w:sz w:val="20"/>
                <w:szCs w:val="20"/>
              </w:rPr>
            </w:pPr>
          </w:p>
        </w:tc>
        <w:tc>
          <w:tcPr>
            <w:tcW w:w="1418" w:type="dxa"/>
          </w:tcPr>
          <w:p w14:paraId="4BDC5BFF" w14:textId="6AA0784F"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5FC22877" w14:textId="550D23D4" w:rsidR="008E3BA7" w:rsidRPr="00BF7956" w:rsidRDefault="008E3BA7" w:rsidP="008E3BA7">
            <w:pPr>
              <w:rPr>
                <w:sz w:val="20"/>
                <w:szCs w:val="20"/>
                <w:lang w:val="ro-RO"/>
              </w:rPr>
            </w:pPr>
            <w:r w:rsidRPr="00BF7956">
              <w:rPr>
                <w:sz w:val="20"/>
                <w:szCs w:val="20"/>
                <w:lang w:val="ro-RO"/>
              </w:rPr>
              <w:t xml:space="preserve">Prevederile aferente </w:t>
            </w:r>
            <w:r w:rsidRPr="00BF7956">
              <w:rPr>
                <w:color w:val="000000"/>
                <w:sz w:val="20"/>
                <w:szCs w:val="20"/>
                <w:lang w:val="en-US"/>
              </w:rPr>
              <w:t>titluri garantate cu active – ABS</w:t>
            </w:r>
            <w:r w:rsidRPr="00BF7956">
              <w:rPr>
                <w:b/>
                <w:bCs/>
                <w:color w:val="000000"/>
                <w:sz w:val="20"/>
                <w:szCs w:val="20"/>
                <w:lang w:val="en-US"/>
              </w:rPr>
              <w:t xml:space="preserve"> </w:t>
            </w:r>
            <w:r w:rsidRPr="00BF7956">
              <w:rPr>
                <w:sz w:val="20"/>
                <w:szCs w:val="20"/>
                <w:lang w:val="ro-RO"/>
              </w:rPr>
              <w:t xml:space="preserve">nu au fost transpuse deoarece </w:t>
            </w:r>
            <w:r w:rsidRPr="00BF7956">
              <w:rPr>
                <w:color w:val="000000"/>
                <w:sz w:val="20"/>
                <w:szCs w:val="20"/>
                <w:lang w:val="en-US"/>
              </w:rPr>
              <w:t>titlurile garantate cu active – ABS</w:t>
            </w:r>
            <w:r w:rsidRPr="00BF7956">
              <w:rPr>
                <w:rFonts w:eastAsia="Calibri"/>
                <w:sz w:val="20"/>
                <w:szCs w:val="20"/>
                <w:lang w:val="ro-RO" w:eastAsia="en-US"/>
              </w:rPr>
              <w:t xml:space="preserve">, în prezent la nivelul Republicii Moldova nu sunt reglementate de cadrul primar aferent desfășurării acestor operațiuni, elaborarea </w:t>
            </w:r>
            <w:r w:rsidRPr="00BF7956">
              <w:rPr>
                <w:rFonts w:eastAsia="Calibri"/>
                <w:sz w:val="20"/>
                <w:szCs w:val="20"/>
                <w:lang w:val="ro-RO" w:eastAsia="en-US"/>
              </w:rPr>
              <w:lastRenderedPageBreak/>
              <w:t>căruia este de competența CNPF.</w:t>
            </w:r>
          </w:p>
        </w:tc>
        <w:tc>
          <w:tcPr>
            <w:tcW w:w="1134" w:type="dxa"/>
            <w:tcBorders>
              <w:top w:val="single" w:sz="4" w:space="0" w:color="auto"/>
              <w:bottom w:val="single" w:sz="4" w:space="0" w:color="auto"/>
            </w:tcBorders>
          </w:tcPr>
          <w:p w14:paraId="36974D79" w14:textId="77777777" w:rsidR="008E3BA7" w:rsidRPr="00BF7956" w:rsidRDefault="008E3BA7" w:rsidP="008E3BA7">
            <w:pPr>
              <w:jc w:val="both"/>
              <w:rPr>
                <w:sz w:val="20"/>
                <w:szCs w:val="20"/>
                <w:lang w:val="ro-RO"/>
              </w:rPr>
            </w:pPr>
          </w:p>
        </w:tc>
        <w:tc>
          <w:tcPr>
            <w:tcW w:w="992" w:type="dxa"/>
          </w:tcPr>
          <w:p w14:paraId="6583F88A" w14:textId="77777777" w:rsidR="008E3BA7" w:rsidRPr="00BF7956" w:rsidRDefault="008E3BA7" w:rsidP="008E3BA7">
            <w:pPr>
              <w:jc w:val="both"/>
              <w:rPr>
                <w:sz w:val="20"/>
                <w:szCs w:val="20"/>
                <w:lang w:val="ro-RO"/>
              </w:rPr>
            </w:pPr>
          </w:p>
        </w:tc>
      </w:tr>
      <w:tr w:rsidR="008E3BA7" w:rsidRPr="002C43F1" w14:paraId="3B2CE98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341BF6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92C310C" w14:textId="71D0B18B"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F627704" w14:textId="766C967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F7CD69B" w14:textId="427493C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2B (CQS 1-6)</w:t>
                  </w:r>
                </w:p>
              </w:tc>
            </w:tr>
          </w:tbl>
          <w:p w14:paraId="42F1FC39"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8BF404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37F558C" w14:textId="35C7C18F"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701BA9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85F3D4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2B (CQS 1-6)</w:t>
                  </w:r>
                </w:p>
              </w:tc>
            </w:tr>
          </w:tbl>
          <w:p w14:paraId="5865FA34" w14:textId="77777777" w:rsidR="008E3BA7" w:rsidRPr="00BF7956" w:rsidRDefault="008E3BA7" w:rsidP="008E3BA7">
            <w:pPr>
              <w:pStyle w:val="CM4"/>
              <w:spacing w:before="60" w:after="60"/>
              <w:rPr>
                <w:sz w:val="20"/>
                <w:szCs w:val="20"/>
                <w:lang w:val="it-IT"/>
              </w:rPr>
            </w:pPr>
          </w:p>
        </w:tc>
        <w:tc>
          <w:tcPr>
            <w:tcW w:w="1418" w:type="dxa"/>
          </w:tcPr>
          <w:p w14:paraId="5B3C9260" w14:textId="5B0E0B68"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2374DD9A" w14:textId="77777777" w:rsidR="008E3BA7" w:rsidRPr="00BF7956" w:rsidRDefault="008E3BA7" w:rsidP="008E3BA7">
            <w:pPr>
              <w:rPr>
                <w:rFonts w:eastAsia="Calibri"/>
                <w:sz w:val="20"/>
                <w:szCs w:val="20"/>
                <w:lang w:val="ro-RO" w:eastAsia="en-US"/>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p w14:paraId="3DC865E2" w14:textId="318E7307" w:rsidR="008E3BA7" w:rsidRPr="00BF7956" w:rsidRDefault="008E3BA7" w:rsidP="008E3BA7">
            <w:pPr>
              <w:rPr>
                <w:sz w:val="20"/>
                <w:szCs w:val="20"/>
                <w:lang w:val="ro-RO"/>
              </w:rPr>
            </w:pPr>
          </w:p>
        </w:tc>
        <w:tc>
          <w:tcPr>
            <w:tcW w:w="1134" w:type="dxa"/>
            <w:tcBorders>
              <w:top w:val="single" w:sz="4" w:space="0" w:color="auto"/>
              <w:bottom w:val="single" w:sz="4" w:space="0" w:color="auto"/>
            </w:tcBorders>
          </w:tcPr>
          <w:p w14:paraId="4BF9765A" w14:textId="77777777" w:rsidR="008E3BA7" w:rsidRPr="00BF7956" w:rsidRDefault="008E3BA7" w:rsidP="008E3BA7">
            <w:pPr>
              <w:jc w:val="both"/>
              <w:rPr>
                <w:sz w:val="20"/>
                <w:szCs w:val="20"/>
                <w:lang w:val="ro-RO"/>
              </w:rPr>
            </w:pPr>
          </w:p>
        </w:tc>
        <w:tc>
          <w:tcPr>
            <w:tcW w:w="992" w:type="dxa"/>
          </w:tcPr>
          <w:p w14:paraId="3C3E4013" w14:textId="77777777" w:rsidR="008E3BA7" w:rsidRPr="00BF7956" w:rsidRDefault="008E3BA7" w:rsidP="008E3BA7">
            <w:pPr>
              <w:jc w:val="both"/>
              <w:rPr>
                <w:sz w:val="20"/>
                <w:szCs w:val="20"/>
                <w:lang w:val="ro-RO"/>
              </w:rPr>
            </w:pPr>
          </w:p>
        </w:tc>
      </w:tr>
      <w:tr w:rsidR="008E3BA7" w:rsidRPr="00BF7956" w14:paraId="4ACEE48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34EB75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C592DCE" w14:textId="6385B04A"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43F320C" w14:textId="79DEC07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76FB3B9" w14:textId="1096166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2B (CQS 1-3)</w:t>
                  </w:r>
                </w:p>
              </w:tc>
            </w:tr>
          </w:tbl>
          <w:p w14:paraId="58D4B33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FD5F4D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AD15C9C" w14:textId="6A6E1CA0"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CDAB81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DD6430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2B (CQS 1-3)</w:t>
                  </w:r>
                </w:p>
              </w:tc>
            </w:tr>
          </w:tbl>
          <w:p w14:paraId="72ECE24E" w14:textId="77777777" w:rsidR="008E3BA7" w:rsidRPr="00BF7956" w:rsidRDefault="008E3BA7" w:rsidP="008E3BA7">
            <w:pPr>
              <w:pStyle w:val="CM4"/>
              <w:spacing w:before="60" w:after="60"/>
              <w:rPr>
                <w:sz w:val="20"/>
                <w:szCs w:val="20"/>
                <w:lang w:val="it-IT"/>
              </w:rPr>
            </w:pPr>
          </w:p>
        </w:tc>
        <w:tc>
          <w:tcPr>
            <w:tcW w:w="1418" w:type="dxa"/>
          </w:tcPr>
          <w:p w14:paraId="04B2BE8E" w14:textId="2ADBEEA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844F69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8B42696" w14:textId="77777777" w:rsidR="008E3BA7" w:rsidRPr="00BF7956" w:rsidRDefault="008E3BA7" w:rsidP="008E3BA7">
            <w:pPr>
              <w:jc w:val="both"/>
              <w:rPr>
                <w:sz w:val="20"/>
                <w:szCs w:val="20"/>
                <w:lang w:val="ro-RO"/>
              </w:rPr>
            </w:pPr>
          </w:p>
        </w:tc>
        <w:tc>
          <w:tcPr>
            <w:tcW w:w="992" w:type="dxa"/>
          </w:tcPr>
          <w:p w14:paraId="623949BE" w14:textId="77777777" w:rsidR="008E3BA7" w:rsidRPr="00BF7956" w:rsidRDefault="008E3BA7" w:rsidP="008E3BA7">
            <w:pPr>
              <w:jc w:val="both"/>
              <w:rPr>
                <w:sz w:val="20"/>
                <w:szCs w:val="20"/>
                <w:lang w:val="ro-RO"/>
              </w:rPr>
            </w:pPr>
          </w:p>
        </w:tc>
      </w:tr>
      <w:tr w:rsidR="008E3BA7" w:rsidRPr="00BF7956" w14:paraId="42A7A87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13C782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DDC7D9D" w14:textId="1E993D5E"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ECBD74A" w14:textId="356D1C0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D0EF0E7" w14:textId="5ADE104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 de nivel 2B</w:t>
                  </w:r>
                </w:p>
              </w:tc>
            </w:tr>
          </w:tbl>
          <w:p w14:paraId="4F2AEF88"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C308F1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3913B2F" w14:textId="4F8DE76C"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598608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1BAF40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 de nivel 2B</w:t>
                  </w:r>
                </w:p>
              </w:tc>
            </w:tr>
          </w:tbl>
          <w:p w14:paraId="3D3426F9" w14:textId="77777777" w:rsidR="008E3BA7" w:rsidRPr="00BF7956" w:rsidRDefault="008E3BA7" w:rsidP="008E3BA7">
            <w:pPr>
              <w:pStyle w:val="CM4"/>
              <w:spacing w:before="60" w:after="60"/>
              <w:rPr>
                <w:sz w:val="20"/>
                <w:szCs w:val="20"/>
              </w:rPr>
            </w:pPr>
          </w:p>
        </w:tc>
        <w:tc>
          <w:tcPr>
            <w:tcW w:w="1418" w:type="dxa"/>
          </w:tcPr>
          <w:p w14:paraId="14C7EDE2" w14:textId="1BEA66E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4FDBF4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59F1DBF" w14:textId="77777777" w:rsidR="008E3BA7" w:rsidRPr="00BF7956" w:rsidRDefault="008E3BA7" w:rsidP="008E3BA7">
            <w:pPr>
              <w:jc w:val="both"/>
              <w:rPr>
                <w:sz w:val="20"/>
                <w:szCs w:val="20"/>
                <w:lang w:val="ro-RO"/>
              </w:rPr>
            </w:pPr>
          </w:p>
        </w:tc>
        <w:tc>
          <w:tcPr>
            <w:tcW w:w="992" w:type="dxa"/>
          </w:tcPr>
          <w:p w14:paraId="6444E8E6" w14:textId="77777777" w:rsidR="008E3BA7" w:rsidRPr="00BF7956" w:rsidRDefault="008E3BA7" w:rsidP="008E3BA7">
            <w:pPr>
              <w:jc w:val="both"/>
              <w:rPr>
                <w:sz w:val="20"/>
                <w:szCs w:val="20"/>
                <w:lang w:val="ro-RO"/>
              </w:rPr>
            </w:pPr>
          </w:p>
        </w:tc>
      </w:tr>
      <w:tr w:rsidR="008E3BA7" w:rsidRPr="00BF7956" w14:paraId="15E66A5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2A21AC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7DB4145" w14:textId="29D51C1B"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163D5A0" w14:textId="6139D26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E0721A2" w14:textId="5D6F07F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2B aferente sectorului public (CQS 3-5)</w:t>
                  </w:r>
                </w:p>
              </w:tc>
            </w:tr>
          </w:tbl>
          <w:p w14:paraId="0171B24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95EF79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76E50BB" w14:textId="534BD09D"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E1BD9A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D7A56C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2B aferente sectorului public (CQS 3-5)</w:t>
                  </w:r>
                </w:p>
              </w:tc>
            </w:tr>
          </w:tbl>
          <w:p w14:paraId="01D228F1" w14:textId="77777777" w:rsidR="008E3BA7" w:rsidRPr="00BF7956" w:rsidRDefault="008E3BA7" w:rsidP="008E3BA7">
            <w:pPr>
              <w:pStyle w:val="CM4"/>
              <w:spacing w:before="60" w:after="60"/>
              <w:rPr>
                <w:sz w:val="20"/>
                <w:szCs w:val="20"/>
                <w:lang w:val="en-US"/>
              </w:rPr>
            </w:pPr>
          </w:p>
        </w:tc>
        <w:tc>
          <w:tcPr>
            <w:tcW w:w="1418" w:type="dxa"/>
          </w:tcPr>
          <w:p w14:paraId="7679476B" w14:textId="0A7A5A4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5B5BD1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8248F3F" w14:textId="77777777" w:rsidR="008E3BA7" w:rsidRPr="00BF7956" w:rsidRDefault="008E3BA7" w:rsidP="008E3BA7">
            <w:pPr>
              <w:jc w:val="both"/>
              <w:rPr>
                <w:sz w:val="20"/>
                <w:szCs w:val="20"/>
                <w:lang w:val="ro-RO"/>
              </w:rPr>
            </w:pPr>
          </w:p>
        </w:tc>
        <w:tc>
          <w:tcPr>
            <w:tcW w:w="992" w:type="dxa"/>
          </w:tcPr>
          <w:p w14:paraId="3D9846F1" w14:textId="77777777" w:rsidR="008E3BA7" w:rsidRPr="00BF7956" w:rsidRDefault="008E3BA7" w:rsidP="008E3BA7">
            <w:pPr>
              <w:jc w:val="both"/>
              <w:rPr>
                <w:sz w:val="20"/>
                <w:szCs w:val="20"/>
                <w:lang w:val="ro-RO"/>
              </w:rPr>
            </w:pPr>
          </w:p>
        </w:tc>
      </w:tr>
      <w:tr w:rsidR="008E3BA7" w:rsidRPr="00BF7956" w14:paraId="311E269C"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4BFF3C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FE9C605" w14:textId="5620E8FE"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65E681D" w14:textId="47BDE62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ECCE026" w14:textId="62B964D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43FEB544"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2CEA00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11179A2" w14:textId="34D51030" w:rsidR="008E3BA7" w:rsidRPr="00BF7956" w:rsidRDefault="00186E25"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673FF4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B157FA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1D7CDD3A" w14:textId="77777777" w:rsidR="008E3BA7" w:rsidRPr="00BF7956" w:rsidRDefault="008E3BA7" w:rsidP="008E3BA7">
            <w:pPr>
              <w:pStyle w:val="CM4"/>
              <w:spacing w:before="60" w:after="60"/>
              <w:rPr>
                <w:sz w:val="20"/>
                <w:szCs w:val="20"/>
              </w:rPr>
            </w:pPr>
          </w:p>
        </w:tc>
        <w:tc>
          <w:tcPr>
            <w:tcW w:w="1418" w:type="dxa"/>
          </w:tcPr>
          <w:p w14:paraId="5A3FC6A5" w14:textId="12E7002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BB49A3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A8CBD2B" w14:textId="77777777" w:rsidR="008E3BA7" w:rsidRPr="00BF7956" w:rsidRDefault="008E3BA7" w:rsidP="008E3BA7">
            <w:pPr>
              <w:jc w:val="both"/>
              <w:rPr>
                <w:sz w:val="20"/>
                <w:szCs w:val="20"/>
                <w:lang w:val="ro-RO"/>
              </w:rPr>
            </w:pPr>
          </w:p>
        </w:tc>
        <w:tc>
          <w:tcPr>
            <w:tcW w:w="992" w:type="dxa"/>
          </w:tcPr>
          <w:p w14:paraId="4441F343" w14:textId="77777777" w:rsidR="008E3BA7" w:rsidRPr="00BF7956" w:rsidRDefault="008E3BA7" w:rsidP="008E3BA7">
            <w:pPr>
              <w:jc w:val="both"/>
              <w:rPr>
                <w:sz w:val="20"/>
                <w:szCs w:val="20"/>
                <w:lang w:val="ro-RO"/>
              </w:rPr>
            </w:pPr>
          </w:p>
        </w:tc>
      </w:tr>
      <w:tr w:rsidR="008E3BA7" w:rsidRPr="00BF7956" w14:paraId="6A6A026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A6EC6A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2F93C84" w14:textId="29BEEEF7"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E937883" w14:textId="1C42EE1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A82E3ED" w14:textId="59CC18B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w:t>
                  </w:r>
                </w:p>
              </w:tc>
            </w:tr>
          </w:tbl>
          <w:p w14:paraId="542C43C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881D04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D02C0E0" w14:textId="37FD3685"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DAE193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2.1.5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B0ACDB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w:t>
                  </w:r>
                </w:p>
              </w:tc>
            </w:tr>
          </w:tbl>
          <w:p w14:paraId="41319F6F" w14:textId="77777777" w:rsidR="008E3BA7" w:rsidRPr="00BF7956" w:rsidRDefault="008E3BA7" w:rsidP="008E3BA7">
            <w:pPr>
              <w:pStyle w:val="CM4"/>
              <w:spacing w:before="60" w:after="60"/>
              <w:rPr>
                <w:sz w:val="20"/>
                <w:szCs w:val="20"/>
              </w:rPr>
            </w:pPr>
          </w:p>
        </w:tc>
        <w:tc>
          <w:tcPr>
            <w:tcW w:w="1418" w:type="dxa"/>
          </w:tcPr>
          <w:p w14:paraId="27BE3340" w14:textId="42FDE39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6C0F47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370623B" w14:textId="77777777" w:rsidR="008E3BA7" w:rsidRPr="00BF7956" w:rsidRDefault="008E3BA7" w:rsidP="008E3BA7">
            <w:pPr>
              <w:jc w:val="both"/>
              <w:rPr>
                <w:sz w:val="20"/>
                <w:szCs w:val="20"/>
                <w:lang w:val="ro-RO"/>
              </w:rPr>
            </w:pPr>
          </w:p>
        </w:tc>
        <w:tc>
          <w:tcPr>
            <w:tcW w:w="992" w:type="dxa"/>
          </w:tcPr>
          <w:p w14:paraId="3975772E" w14:textId="77777777" w:rsidR="008E3BA7" w:rsidRPr="00BF7956" w:rsidRDefault="008E3BA7" w:rsidP="008E3BA7">
            <w:pPr>
              <w:jc w:val="both"/>
              <w:rPr>
                <w:sz w:val="20"/>
                <w:szCs w:val="20"/>
                <w:lang w:val="ro-RO"/>
              </w:rPr>
            </w:pPr>
          </w:p>
        </w:tc>
      </w:tr>
      <w:tr w:rsidR="008E3BA7" w:rsidRPr="00BF7956" w14:paraId="1488F74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9FBC3D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A4627D1" w14:textId="74FC198B"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07221F1" w14:textId="20ED0BE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58CEA0C" w14:textId="3F3C7644"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Sume de primit care nu sunt raportate la punctul 2.1 rezultate din credite și avansuri acordate:</w:t>
                  </w:r>
                </w:p>
              </w:tc>
            </w:tr>
          </w:tbl>
          <w:p w14:paraId="5B61BE45"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00BCBF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AA16671" w14:textId="6F8C4336"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590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CE3CBE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A112D8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Sume de primit care nu sunt raportate la punctul 2.1 rezultate din credite și avansuri acordate:</w:t>
                  </w:r>
                </w:p>
              </w:tc>
            </w:tr>
          </w:tbl>
          <w:p w14:paraId="4FCD54F3" w14:textId="77777777" w:rsidR="008E3BA7" w:rsidRPr="00BF7956" w:rsidRDefault="008E3BA7" w:rsidP="008E3BA7">
            <w:pPr>
              <w:pStyle w:val="CM4"/>
              <w:spacing w:before="60" w:after="60"/>
              <w:rPr>
                <w:sz w:val="20"/>
                <w:szCs w:val="20"/>
                <w:lang w:val="it-IT"/>
              </w:rPr>
            </w:pPr>
          </w:p>
        </w:tc>
        <w:tc>
          <w:tcPr>
            <w:tcW w:w="1418" w:type="dxa"/>
          </w:tcPr>
          <w:p w14:paraId="1340E019" w14:textId="2111B2C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AE1CF3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3D62F72" w14:textId="77777777" w:rsidR="008E3BA7" w:rsidRPr="00BF7956" w:rsidRDefault="008E3BA7" w:rsidP="008E3BA7">
            <w:pPr>
              <w:jc w:val="both"/>
              <w:rPr>
                <w:sz w:val="20"/>
                <w:szCs w:val="20"/>
                <w:lang w:val="ro-RO"/>
              </w:rPr>
            </w:pPr>
          </w:p>
        </w:tc>
        <w:tc>
          <w:tcPr>
            <w:tcW w:w="992" w:type="dxa"/>
          </w:tcPr>
          <w:p w14:paraId="4AE6D512" w14:textId="77777777" w:rsidR="008E3BA7" w:rsidRPr="00BF7956" w:rsidRDefault="008E3BA7" w:rsidP="008E3BA7">
            <w:pPr>
              <w:jc w:val="both"/>
              <w:rPr>
                <w:sz w:val="20"/>
                <w:szCs w:val="20"/>
                <w:lang w:val="ro-RO"/>
              </w:rPr>
            </w:pPr>
          </w:p>
        </w:tc>
      </w:tr>
      <w:tr w:rsidR="008E3BA7" w:rsidRPr="00BF7956" w14:paraId="4CAFCF4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D2B947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A952E7B" w14:textId="79308D5C"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824E593" w14:textId="2536BD4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A87F76A" w14:textId="0805ED8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clienților retail</w:t>
                  </w:r>
                </w:p>
              </w:tc>
            </w:tr>
          </w:tbl>
          <w:p w14:paraId="2F179045"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B0EA90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58FACC2" w14:textId="2C266A5B"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3E36CB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6CF557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clienților retail</w:t>
                  </w:r>
                </w:p>
              </w:tc>
            </w:tr>
          </w:tbl>
          <w:p w14:paraId="36066D33" w14:textId="77777777" w:rsidR="008E3BA7" w:rsidRPr="00BF7956" w:rsidRDefault="008E3BA7" w:rsidP="008E3BA7">
            <w:pPr>
              <w:pStyle w:val="CM4"/>
              <w:spacing w:before="60" w:after="60"/>
              <w:rPr>
                <w:sz w:val="20"/>
                <w:szCs w:val="20"/>
              </w:rPr>
            </w:pPr>
          </w:p>
        </w:tc>
        <w:tc>
          <w:tcPr>
            <w:tcW w:w="1418" w:type="dxa"/>
          </w:tcPr>
          <w:p w14:paraId="2F9817F8" w14:textId="3F049E1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8DC41C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4D49ACE" w14:textId="77777777" w:rsidR="008E3BA7" w:rsidRPr="00BF7956" w:rsidRDefault="008E3BA7" w:rsidP="008E3BA7">
            <w:pPr>
              <w:jc w:val="both"/>
              <w:rPr>
                <w:sz w:val="20"/>
                <w:szCs w:val="20"/>
                <w:lang w:val="ro-RO"/>
              </w:rPr>
            </w:pPr>
          </w:p>
        </w:tc>
        <w:tc>
          <w:tcPr>
            <w:tcW w:w="992" w:type="dxa"/>
          </w:tcPr>
          <w:p w14:paraId="5B43A222" w14:textId="77777777" w:rsidR="008E3BA7" w:rsidRPr="00BF7956" w:rsidRDefault="008E3BA7" w:rsidP="008E3BA7">
            <w:pPr>
              <w:jc w:val="both"/>
              <w:rPr>
                <w:sz w:val="20"/>
                <w:szCs w:val="20"/>
                <w:lang w:val="ro-RO"/>
              </w:rPr>
            </w:pPr>
          </w:p>
        </w:tc>
      </w:tr>
      <w:tr w:rsidR="008E3BA7" w:rsidRPr="00BF7956" w14:paraId="2598909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FE28FA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BEC90B1" w14:textId="6BCDD7D4"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D77DE39" w14:textId="06B249F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A94F75D" w14:textId="4900362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societăților nefinanciare</w:t>
                  </w:r>
                </w:p>
              </w:tc>
            </w:tr>
          </w:tbl>
          <w:p w14:paraId="48CC5492"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655C6E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8AEEB63" w14:textId="5F5A8F31"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9892B3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E4B35A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societăților nefinanciare</w:t>
                  </w:r>
                </w:p>
              </w:tc>
            </w:tr>
          </w:tbl>
          <w:p w14:paraId="61D52F71" w14:textId="77777777" w:rsidR="008E3BA7" w:rsidRPr="00BF7956" w:rsidRDefault="008E3BA7" w:rsidP="008E3BA7">
            <w:pPr>
              <w:pStyle w:val="CM4"/>
              <w:spacing w:before="60" w:after="60"/>
              <w:rPr>
                <w:sz w:val="20"/>
                <w:szCs w:val="20"/>
              </w:rPr>
            </w:pPr>
          </w:p>
        </w:tc>
        <w:tc>
          <w:tcPr>
            <w:tcW w:w="1418" w:type="dxa"/>
          </w:tcPr>
          <w:p w14:paraId="4A89EA0D" w14:textId="2F30ABD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7E4D30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081B43A" w14:textId="77777777" w:rsidR="008E3BA7" w:rsidRPr="00BF7956" w:rsidRDefault="008E3BA7" w:rsidP="008E3BA7">
            <w:pPr>
              <w:jc w:val="both"/>
              <w:rPr>
                <w:sz w:val="20"/>
                <w:szCs w:val="20"/>
                <w:lang w:val="ro-RO"/>
              </w:rPr>
            </w:pPr>
          </w:p>
        </w:tc>
        <w:tc>
          <w:tcPr>
            <w:tcW w:w="992" w:type="dxa"/>
          </w:tcPr>
          <w:p w14:paraId="5AEBDD60" w14:textId="77777777" w:rsidR="008E3BA7" w:rsidRPr="00BF7956" w:rsidRDefault="008E3BA7" w:rsidP="008E3BA7">
            <w:pPr>
              <w:jc w:val="both"/>
              <w:rPr>
                <w:sz w:val="20"/>
                <w:szCs w:val="20"/>
                <w:lang w:val="ro-RO"/>
              </w:rPr>
            </w:pPr>
          </w:p>
        </w:tc>
      </w:tr>
      <w:tr w:rsidR="008E3BA7" w:rsidRPr="00BF7956" w14:paraId="585ED21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C410A7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1AD4CCA" w14:textId="0F96DBF4"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lastRenderedPageBreak/>
                    <w:t>0</w:t>
                  </w:r>
                  <w:r w:rsidR="008E3BA7" w:rsidRPr="00BF7956">
                    <w:rPr>
                      <w:sz w:val="20"/>
                      <w:szCs w:val="20"/>
                    </w:rPr>
                    <w:t>620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0679C80" w14:textId="1E8880B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1EBC068" w14:textId="169C0E1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instituțiilor de credit</w:t>
                  </w:r>
                </w:p>
              </w:tc>
            </w:tr>
          </w:tbl>
          <w:p w14:paraId="55FE6D28"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B03363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31D0E51" w14:textId="309FB432"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CBB29F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345E230" w14:textId="45EAAAA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băncilor</w:t>
                  </w:r>
                </w:p>
              </w:tc>
            </w:tr>
          </w:tbl>
          <w:p w14:paraId="1CAE6F93" w14:textId="77777777" w:rsidR="008E3BA7" w:rsidRPr="00BF7956" w:rsidRDefault="008E3BA7" w:rsidP="008E3BA7">
            <w:pPr>
              <w:pStyle w:val="CM4"/>
              <w:spacing w:before="60" w:after="60"/>
              <w:rPr>
                <w:sz w:val="20"/>
                <w:szCs w:val="20"/>
              </w:rPr>
            </w:pPr>
          </w:p>
        </w:tc>
        <w:tc>
          <w:tcPr>
            <w:tcW w:w="1418" w:type="dxa"/>
          </w:tcPr>
          <w:p w14:paraId="6AFB1E49" w14:textId="1B330D5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EC5C61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44D25AA" w14:textId="77777777" w:rsidR="008E3BA7" w:rsidRPr="00BF7956" w:rsidRDefault="008E3BA7" w:rsidP="008E3BA7">
            <w:pPr>
              <w:jc w:val="both"/>
              <w:rPr>
                <w:sz w:val="20"/>
                <w:szCs w:val="20"/>
                <w:lang w:val="ro-RO"/>
              </w:rPr>
            </w:pPr>
          </w:p>
        </w:tc>
        <w:tc>
          <w:tcPr>
            <w:tcW w:w="992" w:type="dxa"/>
          </w:tcPr>
          <w:p w14:paraId="5EAAC545" w14:textId="77777777" w:rsidR="008E3BA7" w:rsidRPr="00BF7956" w:rsidRDefault="008E3BA7" w:rsidP="008E3BA7">
            <w:pPr>
              <w:jc w:val="both"/>
              <w:rPr>
                <w:sz w:val="20"/>
                <w:szCs w:val="20"/>
                <w:lang w:val="ro-RO"/>
              </w:rPr>
            </w:pPr>
          </w:p>
        </w:tc>
      </w:tr>
      <w:tr w:rsidR="008E3BA7" w:rsidRPr="00BF7956" w14:paraId="4DA7094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DE4DDE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63AF894" w14:textId="386A5654"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F5F40F2" w14:textId="6B3767B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44B756F" w14:textId="5DA456D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altor clienți financiari</w:t>
                  </w:r>
                </w:p>
              </w:tc>
            </w:tr>
          </w:tbl>
          <w:p w14:paraId="684F6BF8"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3AD676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E33375C" w14:textId="68147F0E"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DDFC96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D3EF79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altor clienți financiari</w:t>
                  </w:r>
                </w:p>
              </w:tc>
            </w:tr>
          </w:tbl>
          <w:p w14:paraId="49EE03C0" w14:textId="77777777" w:rsidR="008E3BA7" w:rsidRPr="00BF7956" w:rsidRDefault="008E3BA7" w:rsidP="008E3BA7">
            <w:pPr>
              <w:pStyle w:val="CM4"/>
              <w:spacing w:before="60" w:after="60"/>
              <w:rPr>
                <w:sz w:val="20"/>
                <w:szCs w:val="20"/>
              </w:rPr>
            </w:pPr>
          </w:p>
        </w:tc>
        <w:tc>
          <w:tcPr>
            <w:tcW w:w="1418" w:type="dxa"/>
          </w:tcPr>
          <w:p w14:paraId="4B12C3DA" w14:textId="1094280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9F059A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4AB9B15" w14:textId="77777777" w:rsidR="008E3BA7" w:rsidRPr="00BF7956" w:rsidRDefault="008E3BA7" w:rsidP="008E3BA7">
            <w:pPr>
              <w:jc w:val="both"/>
              <w:rPr>
                <w:sz w:val="20"/>
                <w:szCs w:val="20"/>
                <w:lang w:val="ro-RO"/>
              </w:rPr>
            </w:pPr>
          </w:p>
        </w:tc>
        <w:tc>
          <w:tcPr>
            <w:tcW w:w="992" w:type="dxa"/>
          </w:tcPr>
          <w:p w14:paraId="46693870" w14:textId="77777777" w:rsidR="008E3BA7" w:rsidRPr="00BF7956" w:rsidRDefault="008E3BA7" w:rsidP="008E3BA7">
            <w:pPr>
              <w:jc w:val="both"/>
              <w:rPr>
                <w:sz w:val="20"/>
                <w:szCs w:val="20"/>
                <w:lang w:val="ro-RO"/>
              </w:rPr>
            </w:pPr>
          </w:p>
        </w:tc>
      </w:tr>
      <w:tr w:rsidR="008E3BA7" w:rsidRPr="00BF7956" w14:paraId="5B8F44C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864131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0225BDC" w14:textId="1E6D2EE8" w:rsidR="008E3BA7" w:rsidRPr="00BF7956" w:rsidRDefault="006F7D3F"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12AD873" w14:textId="4A9813A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3BE58DD" w14:textId="0122085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băncilor centrale</w:t>
                  </w:r>
                </w:p>
              </w:tc>
            </w:tr>
          </w:tbl>
          <w:p w14:paraId="019A5EF5"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2238DE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E5797F2" w14:textId="5C884786"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16CD8E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7CA2CB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băncilor centrale</w:t>
                  </w:r>
                </w:p>
              </w:tc>
            </w:tr>
          </w:tbl>
          <w:p w14:paraId="1A3997FA" w14:textId="77777777" w:rsidR="008E3BA7" w:rsidRPr="00BF7956" w:rsidRDefault="008E3BA7" w:rsidP="008E3BA7">
            <w:pPr>
              <w:pStyle w:val="CM4"/>
              <w:spacing w:before="60" w:after="60"/>
              <w:rPr>
                <w:sz w:val="20"/>
                <w:szCs w:val="20"/>
              </w:rPr>
            </w:pPr>
          </w:p>
        </w:tc>
        <w:tc>
          <w:tcPr>
            <w:tcW w:w="1418" w:type="dxa"/>
          </w:tcPr>
          <w:p w14:paraId="2E88036D" w14:textId="1ED0C22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2F8350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716B66D" w14:textId="77777777" w:rsidR="008E3BA7" w:rsidRPr="00BF7956" w:rsidRDefault="008E3BA7" w:rsidP="008E3BA7">
            <w:pPr>
              <w:jc w:val="both"/>
              <w:rPr>
                <w:sz w:val="20"/>
                <w:szCs w:val="20"/>
                <w:lang w:val="ro-RO"/>
              </w:rPr>
            </w:pPr>
          </w:p>
        </w:tc>
        <w:tc>
          <w:tcPr>
            <w:tcW w:w="992" w:type="dxa"/>
          </w:tcPr>
          <w:p w14:paraId="3D615F3C" w14:textId="77777777" w:rsidR="008E3BA7" w:rsidRPr="00BF7956" w:rsidRDefault="008E3BA7" w:rsidP="008E3BA7">
            <w:pPr>
              <w:jc w:val="both"/>
              <w:rPr>
                <w:sz w:val="20"/>
                <w:szCs w:val="20"/>
                <w:lang w:val="ro-RO"/>
              </w:rPr>
            </w:pPr>
          </w:p>
        </w:tc>
      </w:tr>
      <w:tr w:rsidR="008E3BA7" w:rsidRPr="00BF7956" w14:paraId="33D673DF"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38D092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23E3C5D" w14:textId="750EA49D"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89EAD27" w14:textId="5EC7BC5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A658430" w14:textId="6140021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altor contrapărți</w:t>
                  </w:r>
                </w:p>
              </w:tc>
            </w:tr>
          </w:tbl>
          <w:p w14:paraId="5CE5EC39"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6A82B5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0978483" w14:textId="32BA3A61"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FC3651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2.2.6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609F27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altor contrapărți</w:t>
                  </w:r>
                </w:p>
              </w:tc>
            </w:tr>
          </w:tbl>
          <w:p w14:paraId="7BA423C4" w14:textId="77777777" w:rsidR="008E3BA7" w:rsidRPr="00BF7956" w:rsidRDefault="008E3BA7" w:rsidP="008E3BA7">
            <w:pPr>
              <w:pStyle w:val="CM4"/>
              <w:spacing w:before="60" w:after="60"/>
              <w:rPr>
                <w:sz w:val="20"/>
                <w:szCs w:val="20"/>
              </w:rPr>
            </w:pPr>
          </w:p>
        </w:tc>
        <w:tc>
          <w:tcPr>
            <w:tcW w:w="1418" w:type="dxa"/>
          </w:tcPr>
          <w:p w14:paraId="62FD06F8" w14:textId="56C6466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001402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B0796EC" w14:textId="77777777" w:rsidR="008E3BA7" w:rsidRPr="00BF7956" w:rsidRDefault="008E3BA7" w:rsidP="008E3BA7">
            <w:pPr>
              <w:jc w:val="both"/>
              <w:rPr>
                <w:sz w:val="20"/>
                <w:szCs w:val="20"/>
                <w:lang w:val="ro-RO"/>
              </w:rPr>
            </w:pPr>
          </w:p>
        </w:tc>
        <w:tc>
          <w:tcPr>
            <w:tcW w:w="992" w:type="dxa"/>
          </w:tcPr>
          <w:p w14:paraId="1D35CBC1" w14:textId="77777777" w:rsidR="008E3BA7" w:rsidRPr="00BF7956" w:rsidRDefault="008E3BA7" w:rsidP="008E3BA7">
            <w:pPr>
              <w:jc w:val="both"/>
              <w:rPr>
                <w:sz w:val="20"/>
                <w:szCs w:val="20"/>
                <w:lang w:val="ro-RO"/>
              </w:rPr>
            </w:pPr>
          </w:p>
        </w:tc>
      </w:tr>
      <w:tr w:rsidR="008E3BA7" w:rsidRPr="00BF7956" w14:paraId="3243A8B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075555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4A58765" w14:textId="4A45CCE8"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D480030" w14:textId="4B56A302"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E3C0AC0" w14:textId="1E4EC550"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Swap-uri valutare care ajung la scadență</w:t>
                  </w:r>
                </w:p>
              </w:tc>
            </w:tr>
          </w:tbl>
          <w:p w14:paraId="1E7D13E6"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A24276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D3C0E90" w14:textId="1719E5AD"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4075BC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958438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Swap-uri valutare care ajung la scadență</w:t>
                  </w:r>
                </w:p>
              </w:tc>
            </w:tr>
          </w:tbl>
          <w:p w14:paraId="3F711268" w14:textId="77777777" w:rsidR="008E3BA7" w:rsidRPr="00BF7956" w:rsidRDefault="008E3BA7" w:rsidP="008E3BA7">
            <w:pPr>
              <w:pStyle w:val="CM4"/>
              <w:spacing w:before="60" w:after="60"/>
              <w:rPr>
                <w:sz w:val="20"/>
                <w:szCs w:val="20"/>
                <w:lang w:val="it-IT"/>
              </w:rPr>
            </w:pPr>
          </w:p>
        </w:tc>
        <w:tc>
          <w:tcPr>
            <w:tcW w:w="1418" w:type="dxa"/>
          </w:tcPr>
          <w:p w14:paraId="6FDBEDEE" w14:textId="0F883FE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343AE9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68E66EC" w14:textId="77777777" w:rsidR="008E3BA7" w:rsidRPr="00BF7956" w:rsidRDefault="008E3BA7" w:rsidP="008E3BA7">
            <w:pPr>
              <w:jc w:val="both"/>
              <w:rPr>
                <w:sz w:val="20"/>
                <w:szCs w:val="20"/>
                <w:lang w:val="ro-RO"/>
              </w:rPr>
            </w:pPr>
          </w:p>
        </w:tc>
        <w:tc>
          <w:tcPr>
            <w:tcW w:w="992" w:type="dxa"/>
          </w:tcPr>
          <w:p w14:paraId="100F33D2" w14:textId="77777777" w:rsidR="008E3BA7" w:rsidRPr="00BF7956" w:rsidRDefault="008E3BA7" w:rsidP="008E3BA7">
            <w:pPr>
              <w:jc w:val="both"/>
              <w:rPr>
                <w:sz w:val="20"/>
                <w:szCs w:val="20"/>
                <w:lang w:val="ro-RO"/>
              </w:rPr>
            </w:pPr>
          </w:p>
        </w:tc>
      </w:tr>
      <w:tr w:rsidR="008E3BA7" w:rsidRPr="00BF7956" w14:paraId="4DADFD9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9B3954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058ED62" w14:textId="08613D3B"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E97BA92" w14:textId="6E04D69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DDD3128" w14:textId="6E4F0060"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Sume de primit aferente instrumentelor financiare derivate, altele decât cele raportate la punctul 2.3</w:t>
                  </w:r>
                </w:p>
              </w:tc>
            </w:tr>
          </w:tbl>
          <w:p w14:paraId="5AAB8F1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698AAE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78F7D85" w14:textId="517D0193"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6CF358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64455B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Sume de primit aferente instrumentelor financiare derivate, altele decât cele raportate la punctul 2.3</w:t>
                  </w:r>
                </w:p>
              </w:tc>
            </w:tr>
          </w:tbl>
          <w:p w14:paraId="029E606C" w14:textId="77777777" w:rsidR="008E3BA7" w:rsidRPr="00BF7956" w:rsidRDefault="008E3BA7" w:rsidP="008E3BA7">
            <w:pPr>
              <w:pStyle w:val="CM4"/>
              <w:spacing w:before="60" w:after="60"/>
              <w:rPr>
                <w:sz w:val="20"/>
                <w:szCs w:val="20"/>
                <w:lang w:val="it-IT"/>
              </w:rPr>
            </w:pPr>
          </w:p>
        </w:tc>
        <w:tc>
          <w:tcPr>
            <w:tcW w:w="1418" w:type="dxa"/>
          </w:tcPr>
          <w:p w14:paraId="10E5BFA4" w14:textId="790944C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8F5B71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57DED42" w14:textId="77777777" w:rsidR="008E3BA7" w:rsidRPr="00BF7956" w:rsidRDefault="008E3BA7" w:rsidP="008E3BA7">
            <w:pPr>
              <w:jc w:val="both"/>
              <w:rPr>
                <w:sz w:val="20"/>
                <w:szCs w:val="20"/>
                <w:lang w:val="ro-RO"/>
              </w:rPr>
            </w:pPr>
          </w:p>
        </w:tc>
        <w:tc>
          <w:tcPr>
            <w:tcW w:w="992" w:type="dxa"/>
          </w:tcPr>
          <w:p w14:paraId="2B03D924" w14:textId="77777777" w:rsidR="008E3BA7" w:rsidRPr="00BF7956" w:rsidRDefault="008E3BA7" w:rsidP="008E3BA7">
            <w:pPr>
              <w:jc w:val="both"/>
              <w:rPr>
                <w:sz w:val="20"/>
                <w:szCs w:val="20"/>
                <w:lang w:val="ro-RO"/>
              </w:rPr>
            </w:pPr>
          </w:p>
        </w:tc>
      </w:tr>
      <w:tr w:rsidR="008E3BA7" w:rsidRPr="00BF7956" w14:paraId="38A5D21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5D2A9E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971FAFE" w14:textId="5C4D67AE"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4B698F9" w14:textId="00BDA39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C1752DD" w14:textId="7963CC98"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Titluri din propriul portofoliu care ajung la scadență</w:t>
                  </w:r>
                </w:p>
              </w:tc>
            </w:tr>
          </w:tbl>
          <w:p w14:paraId="21FBA055"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0D1229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22098AF" w14:textId="2201AAF8"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78E501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9A2422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Titluri din propriul portofoliu care ajung la scadență</w:t>
                  </w:r>
                </w:p>
              </w:tc>
            </w:tr>
          </w:tbl>
          <w:p w14:paraId="4D42ABB4" w14:textId="77777777" w:rsidR="008E3BA7" w:rsidRPr="00BF7956" w:rsidRDefault="008E3BA7" w:rsidP="008E3BA7">
            <w:pPr>
              <w:pStyle w:val="CM4"/>
              <w:spacing w:before="60" w:after="60"/>
              <w:rPr>
                <w:sz w:val="20"/>
                <w:szCs w:val="20"/>
                <w:lang w:val="it-IT"/>
              </w:rPr>
            </w:pPr>
          </w:p>
        </w:tc>
        <w:tc>
          <w:tcPr>
            <w:tcW w:w="1418" w:type="dxa"/>
          </w:tcPr>
          <w:p w14:paraId="11C1F588" w14:textId="739FA24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8F50D6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C107F63" w14:textId="77777777" w:rsidR="008E3BA7" w:rsidRPr="00BF7956" w:rsidRDefault="008E3BA7" w:rsidP="008E3BA7">
            <w:pPr>
              <w:jc w:val="both"/>
              <w:rPr>
                <w:sz w:val="20"/>
                <w:szCs w:val="20"/>
                <w:lang w:val="ro-RO"/>
              </w:rPr>
            </w:pPr>
          </w:p>
        </w:tc>
        <w:tc>
          <w:tcPr>
            <w:tcW w:w="992" w:type="dxa"/>
          </w:tcPr>
          <w:p w14:paraId="2FF3D7AD" w14:textId="77777777" w:rsidR="008E3BA7" w:rsidRPr="00BF7956" w:rsidRDefault="008E3BA7" w:rsidP="008E3BA7">
            <w:pPr>
              <w:jc w:val="both"/>
              <w:rPr>
                <w:sz w:val="20"/>
                <w:szCs w:val="20"/>
                <w:lang w:val="ro-RO"/>
              </w:rPr>
            </w:pPr>
          </w:p>
        </w:tc>
      </w:tr>
      <w:tr w:rsidR="008E3BA7" w:rsidRPr="00BF7956" w14:paraId="08F5F74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48FEEA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DCDA111" w14:textId="1B8C33D7"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4A8FD51" w14:textId="757A1693"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20AD4BB" w14:textId="73B0351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Alte intrări</w:t>
                  </w:r>
                </w:p>
              </w:tc>
            </w:tr>
          </w:tbl>
          <w:p w14:paraId="163C5B98"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92452D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A4BEE35" w14:textId="46B95A71" w:rsidR="008E3BA7" w:rsidRPr="00BF7956" w:rsidRDefault="000A5151"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690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DFE5B2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1FC5A6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Alte intrări</w:t>
                  </w:r>
                </w:p>
              </w:tc>
            </w:tr>
          </w:tbl>
          <w:p w14:paraId="2492A20C" w14:textId="77777777" w:rsidR="008E3BA7" w:rsidRPr="00BF7956" w:rsidRDefault="008E3BA7" w:rsidP="008E3BA7">
            <w:pPr>
              <w:pStyle w:val="CM4"/>
              <w:spacing w:before="60" w:after="60"/>
              <w:rPr>
                <w:sz w:val="20"/>
                <w:szCs w:val="20"/>
              </w:rPr>
            </w:pPr>
          </w:p>
        </w:tc>
        <w:tc>
          <w:tcPr>
            <w:tcW w:w="1418" w:type="dxa"/>
          </w:tcPr>
          <w:p w14:paraId="285F794F" w14:textId="4E20D1C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1BD821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E34CDFB" w14:textId="77777777" w:rsidR="008E3BA7" w:rsidRPr="00BF7956" w:rsidRDefault="008E3BA7" w:rsidP="008E3BA7">
            <w:pPr>
              <w:jc w:val="both"/>
              <w:rPr>
                <w:sz w:val="20"/>
                <w:szCs w:val="20"/>
                <w:lang w:val="ro-RO"/>
              </w:rPr>
            </w:pPr>
          </w:p>
        </w:tc>
        <w:tc>
          <w:tcPr>
            <w:tcW w:w="992" w:type="dxa"/>
          </w:tcPr>
          <w:p w14:paraId="1ACEC205" w14:textId="77777777" w:rsidR="008E3BA7" w:rsidRPr="00BF7956" w:rsidRDefault="008E3BA7" w:rsidP="008E3BA7">
            <w:pPr>
              <w:jc w:val="both"/>
              <w:rPr>
                <w:sz w:val="20"/>
                <w:szCs w:val="20"/>
                <w:lang w:val="ro-RO"/>
              </w:rPr>
            </w:pPr>
          </w:p>
        </w:tc>
      </w:tr>
      <w:tr w:rsidR="00433958" w:rsidRPr="002C43F1" w14:paraId="123A48B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433958" w:rsidRPr="002C43F1" w14:paraId="31920C3C"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33D5BEBF" w14:textId="4317F835" w:rsidR="00433958" w:rsidRPr="00BF7956" w:rsidRDefault="00433958" w:rsidP="00433958">
                  <w:pPr>
                    <w:pStyle w:val="CM4"/>
                    <w:framePr w:hSpace="180" w:wrap="around" w:vAnchor="text" w:hAnchor="margin" w:y="137"/>
                    <w:spacing w:before="60" w:after="60"/>
                    <w:rPr>
                      <w:i/>
                      <w:iCs/>
                      <w:color w:val="000000"/>
                      <w:sz w:val="20"/>
                      <w:szCs w:val="20"/>
                    </w:rPr>
                  </w:pPr>
                  <w:r w:rsidRPr="00BF7956">
                    <w:rPr>
                      <w:sz w:val="20"/>
                      <w:szCs w:val="20"/>
                    </w:rPr>
                    <w:t>0691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A036291" w14:textId="3C2AB9A6" w:rsidR="00433958" w:rsidRPr="00BF7956" w:rsidRDefault="00433958" w:rsidP="00433958">
                  <w:pPr>
                    <w:pStyle w:val="CM4"/>
                    <w:framePr w:hSpace="180" w:wrap="around" w:vAnchor="text" w:hAnchor="margin" w:y="137"/>
                    <w:spacing w:before="60" w:after="60"/>
                    <w:rPr>
                      <w:i/>
                      <w:iCs/>
                      <w:color w:val="000000"/>
                      <w:sz w:val="20"/>
                      <w:szCs w:val="20"/>
                    </w:rPr>
                  </w:pPr>
                  <w:r w:rsidRPr="00BF7956">
                    <w:rPr>
                      <w:sz w:val="20"/>
                      <w:szCs w:val="20"/>
                    </w:rPr>
                    <w:t>2.6.1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EE92735" w14:textId="77777777" w:rsidR="00433958" w:rsidRPr="00BF7956" w:rsidRDefault="00433958" w:rsidP="00433958">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198E3474" w14:textId="77777777" w:rsidR="00433958" w:rsidRPr="00BF7956" w:rsidRDefault="00433958" w:rsidP="00433958">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433958" w:rsidRPr="002C43F1" w14:paraId="0F0A7C3D"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E58CEB4" w14:textId="40415165" w:rsidR="00433958" w:rsidRPr="00BF7956" w:rsidRDefault="00433958" w:rsidP="00433958">
                  <w:pPr>
                    <w:pStyle w:val="CM4"/>
                    <w:framePr w:hSpace="180" w:wrap="around" w:vAnchor="text" w:hAnchor="margin" w:y="137"/>
                    <w:spacing w:before="60" w:after="60"/>
                    <w:rPr>
                      <w:i/>
                      <w:iCs/>
                      <w:color w:val="000000"/>
                      <w:sz w:val="20"/>
                      <w:szCs w:val="20"/>
                    </w:rPr>
                  </w:pPr>
                  <w:r w:rsidRPr="00BF7956">
                    <w:rPr>
                      <w:sz w:val="20"/>
                      <w:szCs w:val="20"/>
                    </w:rPr>
                    <w:t>0691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FFED044" w14:textId="52480071" w:rsidR="00433958" w:rsidRPr="00BF7956" w:rsidRDefault="00433958" w:rsidP="00433958">
                  <w:pPr>
                    <w:pStyle w:val="CM4"/>
                    <w:framePr w:hSpace="180" w:wrap="around" w:vAnchor="text" w:hAnchor="margin" w:y="137"/>
                    <w:spacing w:before="60" w:after="60"/>
                    <w:rPr>
                      <w:i/>
                      <w:iCs/>
                      <w:color w:val="000000"/>
                      <w:sz w:val="20"/>
                      <w:szCs w:val="20"/>
                    </w:rPr>
                  </w:pPr>
                  <w:r w:rsidRPr="00BF7956">
                    <w:rPr>
                      <w:sz w:val="20"/>
                      <w:szCs w:val="20"/>
                    </w:rPr>
                    <w:t>2.6.1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D88AABA" w14:textId="77777777" w:rsidR="00433958" w:rsidRPr="00BF7956" w:rsidRDefault="00433958" w:rsidP="00433958">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7F7EF7AA" w14:textId="77777777" w:rsidR="00433958" w:rsidRPr="00BF7956" w:rsidRDefault="00433958" w:rsidP="00433958">
            <w:pPr>
              <w:pStyle w:val="CM4"/>
              <w:spacing w:before="60" w:after="60"/>
              <w:rPr>
                <w:sz w:val="20"/>
                <w:szCs w:val="20"/>
              </w:rPr>
            </w:pPr>
          </w:p>
        </w:tc>
        <w:tc>
          <w:tcPr>
            <w:tcW w:w="1418" w:type="dxa"/>
          </w:tcPr>
          <w:p w14:paraId="44F0376F" w14:textId="62BEB9B0" w:rsidR="00433958" w:rsidRPr="00BF7956" w:rsidRDefault="00433958" w:rsidP="00433958">
            <w:pPr>
              <w:rPr>
                <w:bCs/>
                <w:sz w:val="20"/>
                <w:szCs w:val="20"/>
                <w:lang w:val="ro-RO"/>
              </w:rPr>
            </w:pPr>
            <w:r w:rsidRPr="00BF7956">
              <w:rPr>
                <w:bCs/>
                <w:sz w:val="20"/>
                <w:szCs w:val="20"/>
                <w:lang w:val="ro-RO"/>
              </w:rPr>
              <w:t>Necompatibil</w:t>
            </w:r>
          </w:p>
        </w:tc>
        <w:tc>
          <w:tcPr>
            <w:tcW w:w="2223" w:type="dxa"/>
          </w:tcPr>
          <w:p w14:paraId="4E8B6EC5" w14:textId="49E66F3A" w:rsidR="00433958" w:rsidRPr="00BF7956" w:rsidRDefault="00433958" w:rsidP="00433958">
            <w:pPr>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5625666A" w14:textId="77777777" w:rsidR="00433958" w:rsidRPr="00BF7956" w:rsidRDefault="00433958" w:rsidP="00433958">
            <w:pPr>
              <w:jc w:val="both"/>
              <w:rPr>
                <w:sz w:val="20"/>
                <w:szCs w:val="20"/>
                <w:lang w:val="ro-RO"/>
              </w:rPr>
            </w:pPr>
          </w:p>
        </w:tc>
        <w:tc>
          <w:tcPr>
            <w:tcW w:w="992" w:type="dxa"/>
          </w:tcPr>
          <w:p w14:paraId="73D6CB18" w14:textId="77777777" w:rsidR="00433958" w:rsidRPr="00BF7956" w:rsidRDefault="00433958" w:rsidP="00433958">
            <w:pPr>
              <w:jc w:val="both"/>
              <w:rPr>
                <w:sz w:val="20"/>
                <w:szCs w:val="20"/>
                <w:lang w:val="ro-RO"/>
              </w:rPr>
            </w:pPr>
          </w:p>
        </w:tc>
      </w:tr>
      <w:tr w:rsidR="008E3BA7" w:rsidRPr="00BF7956" w14:paraId="223F6E1E"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B4BE9D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0C2C1DA" w14:textId="53985E60"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A938B7B" w14:textId="6E90D28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95ACBDF" w14:textId="5D0302E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Total intrări</w:t>
                  </w:r>
                </w:p>
              </w:tc>
            </w:tr>
          </w:tbl>
          <w:p w14:paraId="762DA257"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9EDC61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D39D46D" w14:textId="18A3F172"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E974EA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DB0926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Total intrări</w:t>
                  </w:r>
                </w:p>
              </w:tc>
            </w:tr>
          </w:tbl>
          <w:p w14:paraId="4FB9EB3A" w14:textId="77777777" w:rsidR="008E3BA7" w:rsidRPr="00BF7956" w:rsidRDefault="008E3BA7" w:rsidP="008E3BA7">
            <w:pPr>
              <w:pStyle w:val="CM4"/>
              <w:spacing w:before="60" w:after="60"/>
              <w:rPr>
                <w:sz w:val="20"/>
                <w:szCs w:val="20"/>
              </w:rPr>
            </w:pPr>
          </w:p>
        </w:tc>
        <w:tc>
          <w:tcPr>
            <w:tcW w:w="1418" w:type="dxa"/>
          </w:tcPr>
          <w:p w14:paraId="2A81E138" w14:textId="5C1DDA9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3A9F05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9753E80" w14:textId="77777777" w:rsidR="008E3BA7" w:rsidRPr="00BF7956" w:rsidRDefault="008E3BA7" w:rsidP="008E3BA7">
            <w:pPr>
              <w:jc w:val="both"/>
              <w:rPr>
                <w:sz w:val="20"/>
                <w:szCs w:val="20"/>
                <w:lang w:val="ro-RO"/>
              </w:rPr>
            </w:pPr>
          </w:p>
        </w:tc>
        <w:tc>
          <w:tcPr>
            <w:tcW w:w="992" w:type="dxa"/>
          </w:tcPr>
          <w:p w14:paraId="61EB7DA1" w14:textId="77777777" w:rsidR="008E3BA7" w:rsidRPr="00BF7956" w:rsidRDefault="008E3BA7" w:rsidP="008E3BA7">
            <w:pPr>
              <w:jc w:val="both"/>
              <w:rPr>
                <w:sz w:val="20"/>
                <w:szCs w:val="20"/>
                <w:lang w:val="ro-RO"/>
              </w:rPr>
            </w:pPr>
          </w:p>
        </w:tc>
      </w:tr>
      <w:tr w:rsidR="008E3BA7" w:rsidRPr="00BF7956" w14:paraId="581B2E4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972A68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A5720BE" w14:textId="30AB4C7C"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B8FFD0D" w14:textId="4124FF35"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DEBC85E" w14:textId="3FCD17D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Deficit contractual net</w:t>
                  </w:r>
                </w:p>
              </w:tc>
            </w:tr>
          </w:tbl>
          <w:p w14:paraId="7A3C2578"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768E52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76CB2A7" w14:textId="640D7CEE"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00E9C3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B8AD06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Deficit contractual net</w:t>
                  </w:r>
                </w:p>
              </w:tc>
            </w:tr>
          </w:tbl>
          <w:p w14:paraId="70766C6B" w14:textId="77777777" w:rsidR="008E3BA7" w:rsidRPr="00BF7956" w:rsidRDefault="008E3BA7" w:rsidP="008E3BA7">
            <w:pPr>
              <w:pStyle w:val="CM4"/>
              <w:spacing w:before="60" w:after="60"/>
              <w:rPr>
                <w:sz w:val="20"/>
                <w:szCs w:val="20"/>
              </w:rPr>
            </w:pPr>
          </w:p>
        </w:tc>
        <w:tc>
          <w:tcPr>
            <w:tcW w:w="1418" w:type="dxa"/>
          </w:tcPr>
          <w:p w14:paraId="0A2A4095" w14:textId="0057143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1FC436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5B2DE3A" w14:textId="77777777" w:rsidR="008E3BA7" w:rsidRPr="00BF7956" w:rsidRDefault="008E3BA7" w:rsidP="008E3BA7">
            <w:pPr>
              <w:jc w:val="both"/>
              <w:rPr>
                <w:sz w:val="20"/>
                <w:szCs w:val="20"/>
                <w:lang w:val="ro-RO"/>
              </w:rPr>
            </w:pPr>
          </w:p>
        </w:tc>
        <w:tc>
          <w:tcPr>
            <w:tcW w:w="992" w:type="dxa"/>
          </w:tcPr>
          <w:p w14:paraId="0A040AB3" w14:textId="77777777" w:rsidR="008E3BA7" w:rsidRPr="00BF7956" w:rsidRDefault="008E3BA7" w:rsidP="008E3BA7">
            <w:pPr>
              <w:jc w:val="both"/>
              <w:rPr>
                <w:sz w:val="20"/>
                <w:szCs w:val="20"/>
                <w:lang w:val="ro-RO"/>
              </w:rPr>
            </w:pPr>
          </w:p>
        </w:tc>
      </w:tr>
      <w:tr w:rsidR="008E3BA7" w:rsidRPr="00BF7956" w14:paraId="08632A9C"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E0C64D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E6B3D7E" w14:textId="0AD112EE"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322EA4E" w14:textId="0923FEBD"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2.9</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D83A2E0" w14:textId="52B1005C"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Deficit contractual net cumulat</w:t>
                  </w:r>
                </w:p>
              </w:tc>
            </w:tr>
          </w:tbl>
          <w:p w14:paraId="09B4E1F1"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0812A5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3484D50" w14:textId="28AA203A"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7CACBB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2.9</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F5A9D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Deficit contractual net cumulat</w:t>
                  </w:r>
                </w:p>
              </w:tc>
            </w:tr>
          </w:tbl>
          <w:p w14:paraId="7B4C803D" w14:textId="77777777" w:rsidR="008E3BA7" w:rsidRPr="00BF7956" w:rsidRDefault="008E3BA7" w:rsidP="008E3BA7">
            <w:pPr>
              <w:pStyle w:val="CM4"/>
              <w:spacing w:before="60" w:after="60"/>
              <w:rPr>
                <w:sz w:val="20"/>
                <w:szCs w:val="20"/>
              </w:rPr>
            </w:pPr>
          </w:p>
        </w:tc>
        <w:tc>
          <w:tcPr>
            <w:tcW w:w="1418" w:type="dxa"/>
          </w:tcPr>
          <w:p w14:paraId="40E08C03" w14:textId="27AF618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1681FA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292942C" w14:textId="77777777" w:rsidR="008E3BA7" w:rsidRPr="00BF7956" w:rsidRDefault="008E3BA7" w:rsidP="008E3BA7">
            <w:pPr>
              <w:jc w:val="both"/>
              <w:rPr>
                <w:sz w:val="20"/>
                <w:szCs w:val="20"/>
                <w:lang w:val="ro-RO"/>
              </w:rPr>
            </w:pPr>
          </w:p>
        </w:tc>
        <w:tc>
          <w:tcPr>
            <w:tcW w:w="992" w:type="dxa"/>
          </w:tcPr>
          <w:p w14:paraId="1C4B1B4D" w14:textId="77777777" w:rsidR="008E3BA7" w:rsidRPr="00BF7956" w:rsidRDefault="008E3BA7" w:rsidP="008E3BA7">
            <w:pPr>
              <w:jc w:val="both"/>
              <w:rPr>
                <w:sz w:val="20"/>
                <w:szCs w:val="20"/>
                <w:lang w:val="ro-RO"/>
              </w:rPr>
            </w:pPr>
          </w:p>
        </w:tc>
      </w:tr>
      <w:tr w:rsidR="008E3BA7" w:rsidRPr="00BF7956" w14:paraId="4006A25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301478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C852A26" w14:textId="17166974" w:rsidR="008E3BA7" w:rsidRPr="00BF7956" w:rsidRDefault="00433958" w:rsidP="008E3BA7">
                  <w:pPr>
                    <w:pStyle w:val="CM4"/>
                    <w:framePr w:hSpace="180" w:wrap="around" w:vAnchor="text" w:hAnchor="margin" w:y="137"/>
                    <w:spacing w:before="60" w:after="60"/>
                    <w:rPr>
                      <w:i/>
                      <w:iCs/>
                      <w:color w:val="000000"/>
                      <w:sz w:val="20"/>
                      <w:szCs w:val="20"/>
                    </w:rPr>
                  </w:pPr>
                  <w:r w:rsidRPr="00BF7956">
                    <w:rPr>
                      <w:b/>
                      <w:bCs/>
                      <w:sz w:val="20"/>
                      <w:szCs w:val="20"/>
                    </w:rPr>
                    <w:t>0</w:t>
                  </w:r>
                  <w:r w:rsidR="008E3BA7" w:rsidRPr="00BF7956">
                    <w:rPr>
                      <w:b/>
                      <w:bCs/>
                      <w:sz w:val="20"/>
                      <w:szCs w:val="20"/>
                    </w:rPr>
                    <w:t>730-1080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BAEEDCA" w14:textId="1AFCBE29"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0E52D22" w14:textId="4A55962E"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CAPACITATEA DE COMPENSARE</w:t>
                  </w:r>
                </w:p>
              </w:tc>
            </w:tr>
          </w:tbl>
          <w:p w14:paraId="2D562BD6"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073F93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B3FC219" w14:textId="0A1DFECB" w:rsidR="008E3BA7" w:rsidRPr="00BF7956" w:rsidRDefault="00433958" w:rsidP="008E3BA7">
                  <w:pPr>
                    <w:pStyle w:val="CM4"/>
                    <w:framePr w:hSpace="180" w:wrap="around" w:vAnchor="text" w:hAnchor="margin" w:y="137"/>
                    <w:spacing w:before="60" w:after="60"/>
                    <w:rPr>
                      <w:i/>
                      <w:iCs/>
                      <w:color w:val="000000"/>
                      <w:sz w:val="20"/>
                      <w:szCs w:val="20"/>
                    </w:rPr>
                  </w:pPr>
                  <w:r w:rsidRPr="00BF7956">
                    <w:rPr>
                      <w:b/>
                      <w:bCs/>
                      <w:sz w:val="20"/>
                      <w:szCs w:val="20"/>
                    </w:rPr>
                    <w:t>0</w:t>
                  </w:r>
                  <w:r w:rsidR="008E3BA7" w:rsidRPr="00BF7956">
                    <w:rPr>
                      <w:b/>
                      <w:bCs/>
                      <w:sz w:val="20"/>
                      <w:szCs w:val="20"/>
                    </w:rPr>
                    <w:t>730-1080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805F82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80E879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CAPACITATEA DE COMPENSARE</w:t>
                  </w:r>
                </w:p>
              </w:tc>
            </w:tr>
          </w:tbl>
          <w:p w14:paraId="5DDC8E2D" w14:textId="77777777" w:rsidR="008E3BA7" w:rsidRPr="00BF7956" w:rsidRDefault="008E3BA7" w:rsidP="008E3BA7">
            <w:pPr>
              <w:pStyle w:val="CM4"/>
              <w:spacing w:before="60" w:after="60"/>
              <w:rPr>
                <w:sz w:val="20"/>
                <w:szCs w:val="20"/>
              </w:rPr>
            </w:pPr>
          </w:p>
        </w:tc>
        <w:tc>
          <w:tcPr>
            <w:tcW w:w="1418" w:type="dxa"/>
          </w:tcPr>
          <w:p w14:paraId="71474197" w14:textId="0E3CCF2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5AC379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ADE6251" w14:textId="77777777" w:rsidR="008E3BA7" w:rsidRPr="00BF7956" w:rsidRDefault="008E3BA7" w:rsidP="008E3BA7">
            <w:pPr>
              <w:jc w:val="both"/>
              <w:rPr>
                <w:sz w:val="20"/>
                <w:szCs w:val="20"/>
                <w:lang w:val="ro-RO"/>
              </w:rPr>
            </w:pPr>
          </w:p>
        </w:tc>
        <w:tc>
          <w:tcPr>
            <w:tcW w:w="992" w:type="dxa"/>
          </w:tcPr>
          <w:p w14:paraId="506EA6ED" w14:textId="77777777" w:rsidR="008E3BA7" w:rsidRPr="00BF7956" w:rsidRDefault="008E3BA7" w:rsidP="008E3BA7">
            <w:pPr>
              <w:jc w:val="both"/>
              <w:rPr>
                <w:sz w:val="20"/>
                <w:szCs w:val="20"/>
                <w:lang w:val="ro-RO"/>
              </w:rPr>
            </w:pPr>
          </w:p>
        </w:tc>
      </w:tr>
      <w:tr w:rsidR="008E3BA7" w:rsidRPr="00BF7956" w14:paraId="18BD93E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B7A2F9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3218ED0" w14:textId="382F89FF"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9707EB5" w14:textId="45AA454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BB9A19F" w14:textId="7E5F2DD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Monede și bancnote</w:t>
                  </w:r>
                </w:p>
              </w:tc>
            </w:tr>
          </w:tbl>
          <w:p w14:paraId="18485174"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4CD66A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F3A4A9C" w14:textId="6A33AA1C"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A4D311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E621BB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Monede și bancnote</w:t>
                  </w:r>
                </w:p>
              </w:tc>
            </w:tr>
          </w:tbl>
          <w:p w14:paraId="29699FC4" w14:textId="77777777" w:rsidR="008E3BA7" w:rsidRPr="00BF7956" w:rsidRDefault="008E3BA7" w:rsidP="008E3BA7">
            <w:pPr>
              <w:pStyle w:val="CM4"/>
              <w:spacing w:before="60" w:after="60"/>
              <w:rPr>
                <w:sz w:val="20"/>
                <w:szCs w:val="20"/>
              </w:rPr>
            </w:pPr>
          </w:p>
        </w:tc>
        <w:tc>
          <w:tcPr>
            <w:tcW w:w="1418" w:type="dxa"/>
          </w:tcPr>
          <w:p w14:paraId="5422E6C3" w14:textId="7360930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9FBA86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6781790" w14:textId="77777777" w:rsidR="008E3BA7" w:rsidRPr="00BF7956" w:rsidRDefault="008E3BA7" w:rsidP="008E3BA7">
            <w:pPr>
              <w:jc w:val="both"/>
              <w:rPr>
                <w:sz w:val="20"/>
                <w:szCs w:val="20"/>
                <w:lang w:val="ro-RO"/>
              </w:rPr>
            </w:pPr>
          </w:p>
        </w:tc>
        <w:tc>
          <w:tcPr>
            <w:tcW w:w="992" w:type="dxa"/>
          </w:tcPr>
          <w:p w14:paraId="682CC63A" w14:textId="77777777" w:rsidR="008E3BA7" w:rsidRPr="00BF7956" w:rsidRDefault="008E3BA7" w:rsidP="008E3BA7">
            <w:pPr>
              <w:jc w:val="both"/>
              <w:rPr>
                <w:sz w:val="20"/>
                <w:szCs w:val="20"/>
                <w:lang w:val="ro-RO"/>
              </w:rPr>
            </w:pPr>
          </w:p>
        </w:tc>
      </w:tr>
      <w:tr w:rsidR="008E3BA7" w:rsidRPr="00BF7956" w14:paraId="52D6349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0D3D40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981BEF4" w14:textId="75D6D984"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lastRenderedPageBreak/>
                    <w:t>0</w:t>
                  </w:r>
                  <w:r w:rsidR="008E3BA7" w:rsidRPr="00BF7956">
                    <w:rPr>
                      <w:sz w:val="20"/>
                      <w:szCs w:val="20"/>
                    </w:rPr>
                    <w:t>740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187688A" w14:textId="42104CD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2C23E10" w14:textId="58C1367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Rezerve la bănci centrale care pot fi retrase</w:t>
                  </w:r>
                </w:p>
              </w:tc>
            </w:tr>
          </w:tbl>
          <w:p w14:paraId="738F174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337822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3C4E6F9" w14:textId="7B98FEFB"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3DDDAC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11E51D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Rezerve la bănci centrale care pot fi retrase</w:t>
                  </w:r>
                </w:p>
              </w:tc>
            </w:tr>
          </w:tbl>
          <w:p w14:paraId="537D90A8" w14:textId="77777777" w:rsidR="008E3BA7" w:rsidRPr="00BF7956" w:rsidRDefault="008E3BA7" w:rsidP="008E3BA7">
            <w:pPr>
              <w:pStyle w:val="CM4"/>
              <w:spacing w:before="60" w:after="60"/>
              <w:rPr>
                <w:sz w:val="20"/>
                <w:szCs w:val="20"/>
                <w:lang w:val="it-IT"/>
              </w:rPr>
            </w:pPr>
          </w:p>
        </w:tc>
        <w:tc>
          <w:tcPr>
            <w:tcW w:w="1418" w:type="dxa"/>
          </w:tcPr>
          <w:p w14:paraId="132352FA" w14:textId="5AF4CDA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D33016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8C9E2A6" w14:textId="77777777" w:rsidR="008E3BA7" w:rsidRPr="00BF7956" w:rsidRDefault="008E3BA7" w:rsidP="008E3BA7">
            <w:pPr>
              <w:jc w:val="both"/>
              <w:rPr>
                <w:sz w:val="20"/>
                <w:szCs w:val="20"/>
                <w:lang w:val="ro-RO"/>
              </w:rPr>
            </w:pPr>
          </w:p>
        </w:tc>
        <w:tc>
          <w:tcPr>
            <w:tcW w:w="992" w:type="dxa"/>
          </w:tcPr>
          <w:p w14:paraId="3408DB6A" w14:textId="77777777" w:rsidR="008E3BA7" w:rsidRPr="00BF7956" w:rsidRDefault="008E3BA7" w:rsidP="008E3BA7">
            <w:pPr>
              <w:jc w:val="both"/>
              <w:rPr>
                <w:sz w:val="20"/>
                <w:szCs w:val="20"/>
                <w:lang w:val="ro-RO"/>
              </w:rPr>
            </w:pPr>
          </w:p>
        </w:tc>
      </w:tr>
      <w:tr w:rsidR="008E3BA7" w:rsidRPr="00BF7956" w14:paraId="46189E8E"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AC063E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97A5082" w14:textId="4D39754A"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46F7301" w14:textId="6196F44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29BB6CC" w14:textId="7C8BD1D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387417A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0C844D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593261E" w14:textId="63E122DE"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92A432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55E615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tranzacționabile de nivel 1</w:t>
                  </w:r>
                </w:p>
              </w:tc>
            </w:tr>
          </w:tbl>
          <w:p w14:paraId="58BCDF86" w14:textId="77777777" w:rsidR="008E3BA7" w:rsidRPr="00BF7956" w:rsidRDefault="008E3BA7" w:rsidP="008E3BA7">
            <w:pPr>
              <w:pStyle w:val="CM4"/>
              <w:spacing w:before="60" w:after="60"/>
              <w:rPr>
                <w:sz w:val="20"/>
                <w:szCs w:val="20"/>
              </w:rPr>
            </w:pPr>
          </w:p>
        </w:tc>
        <w:tc>
          <w:tcPr>
            <w:tcW w:w="1418" w:type="dxa"/>
          </w:tcPr>
          <w:p w14:paraId="60D800CD" w14:textId="7C8176E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9A3B29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807C0FE" w14:textId="77777777" w:rsidR="008E3BA7" w:rsidRPr="00BF7956" w:rsidRDefault="008E3BA7" w:rsidP="008E3BA7">
            <w:pPr>
              <w:jc w:val="both"/>
              <w:rPr>
                <w:sz w:val="20"/>
                <w:szCs w:val="20"/>
                <w:lang w:val="ro-RO"/>
              </w:rPr>
            </w:pPr>
          </w:p>
        </w:tc>
        <w:tc>
          <w:tcPr>
            <w:tcW w:w="992" w:type="dxa"/>
          </w:tcPr>
          <w:p w14:paraId="5C83C490" w14:textId="77777777" w:rsidR="008E3BA7" w:rsidRPr="00BF7956" w:rsidRDefault="008E3BA7" w:rsidP="008E3BA7">
            <w:pPr>
              <w:jc w:val="both"/>
              <w:rPr>
                <w:sz w:val="20"/>
                <w:szCs w:val="20"/>
                <w:lang w:val="ro-RO"/>
              </w:rPr>
            </w:pPr>
          </w:p>
        </w:tc>
      </w:tr>
      <w:tr w:rsidR="008E3BA7" w:rsidRPr="00BF7956" w14:paraId="64118362"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447276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1C4C2A6" w14:textId="098556C9"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46C235C" w14:textId="086020B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3955E15" w14:textId="69EDC29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exceptând obligațiunile garantate</w:t>
                  </w:r>
                </w:p>
              </w:tc>
            </w:tr>
          </w:tbl>
          <w:p w14:paraId="3A1332E6"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0EE3B7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26CDEB9" w14:textId="0F64D964"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5A929D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5B6CD4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exceptând obligațiunile garantate</w:t>
                  </w:r>
                </w:p>
              </w:tc>
            </w:tr>
          </w:tbl>
          <w:p w14:paraId="0D947E05" w14:textId="77777777" w:rsidR="008E3BA7" w:rsidRPr="00BF7956" w:rsidRDefault="008E3BA7" w:rsidP="008E3BA7">
            <w:pPr>
              <w:pStyle w:val="CM4"/>
              <w:spacing w:before="60" w:after="60"/>
              <w:rPr>
                <w:sz w:val="20"/>
                <w:szCs w:val="20"/>
                <w:lang w:val="en-US"/>
              </w:rPr>
            </w:pPr>
          </w:p>
        </w:tc>
        <w:tc>
          <w:tcPr>
            <w:tcW w:w="1418" w:type="dxa"/>
          </w:tcPr>
          <w:p w14:paraId="14B33ED7" w14:textId="0DBC28F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B7E7A5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E2883AB" w14:textId="77777777" w:rsidR="008E3BA7" w:rsidRPr="00BF7956" w:rsidRDefault="008E3BA7" w:rsidP="008E3BA7">
            <w:pPr>
              <w:jc w:val="both"/>
              <w:rPr>
                <w:sz w:val="20"/>
                <w:szCs w:val="20"/>
                <w:lang w:val="ro-RO"/>
              </w:rPr>
            </w:pPr>
          </w:p>
        </w:tc>
        <w:tc>
          <w:tcPr>
            <w:tcW w:w="992" w:type="dxa"/>
          </w:tcPr>
          <w:p w14:paraId="73502111" w14:textId="77777777" w:rsidR="008E3BA7" w:rsidRPr="00BF7956" w:rsidRDefault="008E3BA7" w:rsidP="008E3BA7">
            <w:pPr>
              <w:jc w:val="both"/>
              <w:rPr>
                <w:sz w:val="20"/>
                <w:szCs w:val="20"/>
                <w:lang w:val="ro-RO"/>
              </w:rPr>
            </w:pPr>
          </w:p>
        </w:tc>
      </w:tr>
      <w:tr w:rsidR="008E3BA7" w:rsidRPr="00BF7956" w14:paraId="569CA68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EA7138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1F14FE5" w14:textId="1B7AA7F8"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192F7CF" w14:textId="01189BB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E397E16" w14:textId="281A122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aferente băncilor centrale</w:t>
                  </w:r>
                </w:p>
              </w:tc>
            </w:tr>
          </w:tbl>
          <w:p w14:paraId="1CB03E9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EC117E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96BCF4B" w14:textId="277D8B50"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7FC4D0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5231A9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aferente băncilor centrale</w:t>
                  </w:r>
                </w:p>
              </w:tc>
            </w:tr>
          </w:tbl>
          <w:p w14:paraId="305EE90C" w14:textId="77777777" w:rsidR="008E3BA7" w:rsidRPr="00BF7956" w:rsidRDefault="008E3BA7" w:rsidP="008E3BA7">
            <w:pPr>
              <w:pStyle w:val="CM4"/>
              <w:spacing w:before="60" w:after="60"/>
              <w:rPr>
                <w:sz w:val="20"/>
                <w:szCs w:val="20"/>
                <w:lang w:val="en-US"/>
              </w:rPr>
            </w:pPr>
          </w:p>
        </w:tc>
        <w:tc>
          <w:tcPr>
            <w:tcW w:w="1418" w:type="dxa"/>
          </w:tcPr>
          <w:p w14:paraId="441F4D4C" w14:textId="067CF8B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FE5319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6ABD3DC" w14:textId="77777777" w:rsidR="008E3BA7" w:rsidRPr="00BF7956" w:rsidRDefault="008E3BA7" w:rsidP="008E3BA7">
            <w:pPr>
              <w:jc w:val="both"/>
              <w:rPr>
                <w:sz w:val="20"/>
                <w:szCs w:val="20"/>
                <w:lang w:val="ro-RO"/>
              </w:rPr>
            </w:pPr>
          </w:p>
        </w:tc>
        <w:tc>
          <w:tcPr>
            <w:tcW w:w="992" w:type="dxa"/>
          </w:tcPr>
          <w:p w14:paraId="58EB5159" w14:textId="77777777" w:rsidR="008E3BA7" w:rsidRPr="00BF7956" w:rsidRDefault="008E3BA7" w:rsidP="008E3BA7">
            <w:pPr>
              <w:jc w:val="both"/>
              <w:rPr>
                <w:sz w:val="20"/>
                <w:szCs w:val="20"/>
                <w:lang w:val="ro-RO"/>
              </w:rPr>
            </w:pPr>
          </w:p>
        </w:tc>
      </w:tr>
      <w:tr w:rsidR="008E3BA7" w:rsidRPr="00BF7956" w14:paraId="1F44CD40"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8E7BC5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AA59795" w14:textId="2771AD6F"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DB51209" w14:textId="57F7B5E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681B41E" w14:textId="70C91B9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 1)</w:t>
                  </w:r>
                </w:p>
              </w:tc>
            </w:tr>
          </w:tbl>
          <w:p w14:paraId="0D3C5A65"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17C1FF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23BE263" w14:textId="2BA33511"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E689FC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EC61E1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 1)</w:t>
                  </w:r>
                </w:p>
              </w:tc>
            </w:tr>
          </w:tbl>
          <w:p w14:paraId="5F648638" w14:textId="77777777" w:rsidR="008E3BA7" w:rsidRPr="00BF7956" w:rsidRDefault="008E3BA7" w:rsidP="008E3BA7">
            <w:pPr>
              <w:pStyle w:val="CM4"/>
              <w:spacing w:before="60" w:after="60"/>
              <w:rPr>
                <w:sz w:val="20"/>
                <w:szCs w:val="20"/>
              </w:rPr>
            </w:pPr>
          </w:p>
        </w:tc>
        <w:tc>
          <w:tcPr>
            <w:tcW w:w="1418" w:type="dxa"/>
          </w:tcPr>
          <w:p w14:paraId="2E7DEEA8" w14:textId="0314178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039747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736572B" w14:textId="77777777" w:rsidR="008E3BA7" w:rsidRPr="00BF7956" w:rsidRDefault="008E3BA7" w:rsidP="008E3BA7">
            <w:pPr>
              <w:jc w:val="both"/>
              <w:rPr>
                <w:sz w:val="20"/>
                <w:szCs w:val="20"/>
                <w:lang w:val="ro-RO"/>
              </w:rPr>
            </w:pPr>
          </w:p>
        </w:tc>
        <w:tc>
          <w:tcPr>
            <w:tcW w:w="992" w:type="dxa"/>
          </w:tcPr>
          <w:p w14:paraId="6ABAE735" w14:textId="77777777" w:rsidR="008E3BA7" w:rsidRPr="00BF7956" w:rsidRDefault="008E3BA7" w:rsidP="008E3BA7">
            <w:pPr>
              <w:jc w:val="both"/>
              <w:rPr>
                <w:sz w:val="20"/>
                <w:szCs w:val="20"/>
                <w:lang w:val="ro-RO"/>
              </w:rPr>
            </w:pPr>
          </w:p>
        </w:tc>
      </w:tr>
      <w:tr w:rsidR="008E3BA7" w:rsidRPr="00BF7956" w14:paraId="66AC8DEE"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DBA84E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D3210FA" w14:textId="6241A94C"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4C234E4" w14:textId="7A6D60F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973E23A" w14:textId="49991E3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(CQS2, CQS3)</w:t>
                  </w:r>
                </w:p>
              </w:tc>
            </w:tr>
          </w:tbl>
          <w:p w14:paraId="516C96A9"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8FA394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BFE968F" w14:textId="0EFD0190"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790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0E2D45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8F84EF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(CQS2, CQS3)</w:t>
                  </w:r>
                </w:p>
              </w:tc>
            </w:tr>
          </w:tbl>
          <w:p w14:paraId="4DDCBA25" w14:textId="77777777" w:rsidR="008E3BA7" w:rsidRPr="00BF7956" w:rsidRDefault="008E3BA7" w:rsidP="008E3BA7">
            <w:pPr>
              <w:pStyle w:val="CM4"/>
              <w:spacing w:before="60" w:after="60"/>
              <w:rPr>
                <w:sz w:val="20"/>
                <w:szCs w:val="20"/>
                <w:lang w:val="en-US"/>
              </w:rPr>
            </w:pPr>
          </w:p>
        </w:tc>
        <w:tc>
          <w:tcPr>
            <w:tcW w:w="1418" w:type="dxa"/>
          </w:tcPr>
          <w:p w14:paraId="27DDF4BC" w14:textId="2AEC7EF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9029B3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409CC1F" w14:textId="77777777" w:rsidR="008E3BA7" w:rsidRPr="00BF7956" w:rsidRDefault="008E3BA7" w:rsidP="008E3BA7">
            <w:pPr>
              <w:jc w:val="both"/>
              <w:rPr>
                <w:sz w:val="20"/>
                <w:szCs w:val="20"/>
                <w:lang w:val="ro-RO"/>
              </w:rPr>
            </w:pPr>
          </w:p>
        </w:tc>
        <w:tc>
          <w:tcPr>
            <w:tcW w:w="992" w:type="dxa"/>
          </w:tcPr>
          <w:p w14:paraId="46E8A91D" w14:textId="77777777" w:rsidR="008E3BA7" w:rsidRPr="00BF7956" w:rsidRDefault="008E3BA7" w:rsidP="008E3BA7">
            <w:pPr>
              <w:jc w:val="both"/>
              <w:rPr>
                <w:sz w:val="20"/>
                <w:szCs w:val="20"/>
                <w:lang w:val="ro-RO"/>
              </w:rPr>
            </w:pPr>
          </w:p>
        </w:tc>
      </w:tr>
      <w:tr w:rsidR="008E3BA7" w:rsidRPr="00BF7956" w14:paraId="0AFA9CC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967755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789E78A" w14:textId="78EA7AE3"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0846D81" w14:textId="106FEAB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369B592" w14:textId="0584C4C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(CQS4+)</w:t>
                  </w:r>
                </w:p>
              </w:tc>
            </w:tr>
          </w:tbl>
          <w:p w14:paraId="3CA83B8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92B447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5D6FDAC" w14:textId="45C0BED9"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3CE5912"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E3BDA1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1 (CQS4+)</w:t>
                  </w:r>
                </w:p>
              </w:tc>
            </w:tr>
          </w:tbl>
          <w:p w14:paraId="1D01C494" w14:textId="77777777" w:rsidR="008E3BA7" w:rsidRPr="00BF7956" w:rsidRDefault="008E3BA7" w:rsidP="008E3BA7">
            <w:pPr>
              <w:pStyle w:val="CM4"/>
              <w:spacing w:before="60" w:after="60"/>
              <w:rPr>
                <w:sz w:val="20"/>
                <w:szCs w:val="20"/>
              </w:rPr>
            </w:pPr>
          </w:p>
        </w:tc>
        <w:tc>
          <w:tcPr>
            <w:tcW w:w="1418" w:type="dxa"/>
          </w:tcPr>
          <w:p w14:paraId="67DF1D42" w14:textId="4DCF366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5724F5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D5B42DB" w14:textId="77777777" w:rsidR="008E3BA7" w:rsidRPr="00BF7956" w:rsidRDefault="008E3BA7" w:rsidP="008E3BA7">
            <w:pPr>
              <w:jc w:val="both"/>
              <w:rPr>
                <w:sz w:val="20"/>
                <w:szCs w:val="20"/>
                <w:lang w:val="ro-RO"/>
              </w:rPr>
            </w:pPr>
          </w:p>
        </w:tc>
        <w:tc>
          <w:tcPr>
            <w:tcW w:w="992" w:type="dxa"/>
          </w:tcPr>
          <w:p w14:paraId="71209B81" w14:textId="77777777" w:rsidR="008E3BA7" w:rsidRPr="00BF7956" w:rsidRDefault="008E3BA7" w:rsidP="008E3BA7">
            <w:pPr>
              <w:jc w:val="both"/>
              <w:rPr>
                <w:sz w:val="20"/>
                <w:szCs w:val="20"/>
                <w:lang w:val="ro-RO"/>
              </w:rPr>
            </w:pPr>
          </w:p>
        </w:tc>
      </w:tr>
      <w:tr w:rsidR="008E3BA7" w:rsidRPr="002C43F1" w14:paraId="326B243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49EC74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10E23AA" w14:textId="759DCC15"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67AF10C" w14:textId="1991B10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57E2D5B" w14:textId="0D8884F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1 (CQS 1)</w:t>
                  </w:r>
                </w:p>
              </w:tc>
            </w:tr>
          </w:tbl>
          <w:p w14:paraId="2E78A7F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9F7AE4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3337FF2" w14:textId="34B25680"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9C02CF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3.3.2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C8A1FE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1 (CQS 1)</w:t>
                  </w:r>
                </w:p>
              </w:tc>
            </w:tr>
          </w:tbl>
          <w:p w14:paraId="65D13FEB" w14:textId="77777777" w:rsidR="008E3BA7" w:rsidRPr="00BF7956" w:rsidRDefault="008E3BA7" w:rsidP="008E3BA7">
            <w:pPr>
              <w:pStyle w:val="CM4"/>
              <w:spacing w:before="60" w:after="60"/>
              <w:rPr>
                <w:sz w:val="20"/>
                <w:szCs w:val="20"/>
                <w:lang w:val="it-IT"/>
              </w:rPr>
            </w:pPr>
          </w:p>
        </w:tc>
        <w:tc>
          <w:tcPr>
            <w:tcW w:w="1418" w:type="dxa"/>
          </w:tcPr>
          <w:p w14:paraId="278DFE41" w14:textId="03FE68E9"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11F8C9E0" w14:textId="77777777" w:rsidR="008E3BA7" w:rsidRPr="00BF7956" w:rsidRDefault="008E3BA7" w:rsidP="008E3BA7">
            <w:pPr>
              <w:rPr>
                <w:rFonts w:eastAsia="Calibri"/>
                <w:sz w:val="20"/>
                <w:szCs w:val="20"/>
                <w:lang w:val="ro-RO" w:eastAsia="en-US"/>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p w14:paraId="0D5FBBF6" w14:textId="07A6CD61" w:rsidR="008E3BA7" w:rsidRPr="00BF7956" w:rsidRDefault="008E3BA7" w:rsidP="008E3BA7">
            <w:pPr>
              <w:rPr>
                <w:sz w:val="20"/>
                <w:szCs w:val="20"/>
                <w:lang w:val="ro-RO"/>
              </w:rPr>
            </w:pPr>
          </w:p>
        </w:tc>
        <w:tc>
          <w:tcPr>
            <w:tcW w:w="1134" w:type="dxa"/>
            <w:tcBorders>
              <w:top w:val="single" w:sz="4" w:space="0" w:color="auto"/>
              <w:bottom w:val="single" w:sz="4" w:space="0" w:color="auto"/>
            </w:tcBorders>
          </w:tcPr>
          <w:p w14:paraId="2CBA969F" w14:textId="77777777" w:rsidR="008E3BA7" w:rsidRPr="00BF7956" w:rsidRDefault="008E3BA7" w:rsidP="008E3BA7">
            <w:pPr>
              <w:jc w:val="both"/>
              <w:rPr>
                <w:sz w:val="20"/>
                <w:szCs w:val="20"/>
                <w:lang w:val="ro-RO"/>
              </w:rPr>
            </w:pPr>
          </w:p>
        </w:tc>
        <w:tc>
          <w:tcPr>
            <w:tcW w:w="992" w:type="dxa"/>
          </w:tcPr>
          <w:p w14:paraId="0D312BD4" w14:textId="77777777" w:rsidR="008E3BA7" w:rsidRPr="00BF7956" w:rsidRDefault="008E3BA7" w:rsidP="008E3BA7">
            <w:pPr>
              <w:jc w:val="both"/>
              <w:rPr>
                <w:sz w:val="20"/>
                <w:szCs w:val="20"/>
                <w:lang w:val="ro-RO"/>
              </w:rPr>
            </w:pPr>
          </w:p>
        </w:tc>
      </w:tr>
      <w:tr w:rsidR="008E3BA7" w:rsidRPr="00BF7956" w14:paraId="748800CF"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F92D66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A502373" w14:textId="662F2748"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F6CA3DB" w14:textId="2815B91D"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5D6E16C" w14:textId="02E6138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Active tranzacționabile de nivel 2A</w:t>
                  </w:r>
                </w:p>
              </w:tc>
            </w:tr>
          </w:tbl>
          <w:p w14:paraId="6CEA021D"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88ED39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B095EF6" w14:textId="192A6335" w:rsidR="008E3BA7" w:rsidRPr="00BF7956" w:rsidRDefault="00433958"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18CEB7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631336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Active tranzacționabile de nivel 2A</w:t>
                  </w:r>
                </w:p>
              </w:tc>
            </w:tr>
          </w:tbl>
          <w:p w14:paraId="685FF60A" w14:textId="77777777" w:rsidR="008E3BA7" w:rsidRPr="00BF7956" w:rsidRDefault="008E3BA7" w:rsidP="008E3BA7">
            <w:pPr>
              <w:pStyle w:val="CM4"/>
              <w:spacing w:before="60" w:after="60"/>
              <w:rPr>
                <w:sz w:val="20"/>
                <w:szCs w:val="20"/>
                <w:lang w:val="en-US"/>
              </w:rPr>
            </w:pPr>
          </w:p>
        </w:tc>
        <w:tc>
          <w:tcPr>
            <w:tcW w:w="1418" w:type="dxa"/>
          </w:tcPr>
          <w:p w14:paraId="446EBFDD" w14:textId="2AD0BA9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7C3602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D4C43A2" w14:textId="77777777" w:rsidR="008E3BA7" w:rsidRPr="00BF7956" w:rsidRDefault="008E3BA7" w:rsidP="008E3BA7">
            <w:pPr>
              <w:jc w:val="both"/>
              <w:rPr>
                <w:sz w:val="20"/>
                <w:szCs w:val="20"/>
                <w:lang w:val="ro-RO"/>
              </w:rPr>
            </w:pPr>
          </w:p>
        </w:tc>
        <w:tc>
          <w:tcPr>
            <w:tcW w:w="992" w:type="dxa"/>
          </w:tcPr>
          <w:p w14:paraId="01CB6FAD" w14:textId="77777777" w:rsidR="008E3BA7" w:rsidRPr="00BF7956" w:rsidRDefault="008E3BA7" w:rsidP="008E3BA7">
            <w:pPr>
              <w:jc w:val="both"/>
              <w:rPr>
                <w:sz w:val="20"/>
                <w:szCs w:val="20"/>
                <w:lang w:val="ro-RO"/>
              </w:rPr>
            </w:pPr>
          </w:p>
        </w:tc>
      </w:tr>
      <w:tr w:rsidR="008E3BA7" w:rsidRPr="00BF7956" w14:paraId="494A9DE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DB10FA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F383C62" w14:textId="0D55B7E5"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B7144F5" w14:textId="4F2D30E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3.4.1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36F3E2C" w14:textId="09237E2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2A (CQS1)</w:t>
                  </w:r>
                </w:p>
              </w:tc>
            </w:tr>
          </w:tbl>
          <w:p w14:paraId="04D74E4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6E4356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D92DBC5" w14:textId="6FBE4E6D"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605EDC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3.4.1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C80DE7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2A (CQS1)</w:t>
                  </w:r>
                </w:p>
              </w:tc>
            </w:tr>
          </w:tbl>
          <w:p w14:paraId="52E3AF2C" w14:textId="77777777" w:rsidR="008E3BA7" w:rsidRPr="00BF7956" w:rsidRDefault="008E3BA7" w:rsidP="008E3BA7">
            <w:pPr>
              <w:pStyle w:val="CM4"/>
              <w:spacing w:before="60" w:after="60"/>
              <w:rPr>
                <w:sz w:val="20"/>
                <w:szCs w:val="20"/>
                <w:lang w:val="it-IT"/>
              </w:rPr>
            </w:pPr>
          </w:p>
        </w:tc>
        <w:tc>
          <w:tcPr>
            <w:tcW w:w="1418" w:type="dxa"/>
          </w:tcPr>
          <w:p w14:paraId="03C4049A" w14:textId="2493FF9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1F144B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FE5DFDE" w14:textId="77777777" w:rsidR="008E3BA7" w:rsidRPr="00BF7956" w:rsidRDefault="008E3BA7" w:rsidP="008E3BA7">
            <w:pPr>
              <w:jc w:val="both"/>
              <w:rPr>
                <w:sz w:val="20"/>
                <w:szCs w:val="20"/>
                <w:lang w:val="ro-RO"/>
              </w:rPr>
            </w:pPr>
          </w:p>
        </w:tc>
        <w:tc>
          <w:tcPr>
            <w:tcW w:w="992" w:type="dxa"/>
          </w:tcPr>
          <w:p w14:paraId="60CA3B1C" w14:textId="77777777" w:rsidR="008E3BA7" w:rsidRPr="00BF7956" w:rsidRDefault="008E3BA7" w:rsidP="008E3BA7">
            <w:pPr>
              <w:jc w:val="both"/>
              <w:rPr>
                <w:sz w:val="20"/>
                <w:szCs w:val="20"/>
                <w:lang w:val="ro-RO"/>
              </w:rPr>
            </w:pPr>
          </w:p>
        </w:tc>
      </w:tr>
      <w:tr w:rsidR="008E3BA7" w:rsidRPr="002C43F1" w14:paraId="0B502EC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9300E4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CB24233" w14:textId="0F37D281"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DA271C6" w14:textId="05CD80E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3.4.3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BF38B33" w14:textId="4AE9164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2A (CQS 1, CQS 2)</w:t>
                  </w:r>
                </w:p>
              </w:tc>
            </w:tr>
          </w:tbl>
          <w:p w14:paraId="7E42551D"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20611F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7ACE86E" w14:textId="01531F5A"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F5DC55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3.4.3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B694EF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2A (CQS 1, CQS 2)</w:t>
                  </w:r>
                </w:p>
              </w:tc>
            </w:tr>
          </w:tbl>
          <w:p w14:paraId="51C847D3" w14:textId="77777777" w:rsidR="008E3BA7" w:rsidRPr="00BF7956" w:rsidRDefault="008E3BA7" w:rsidP="008E3BA7">
            <w:pPr>
              <w:pStyle w:val="CM4"/>
              <w:spacing w:before="60" w:after="60"/>
              <w:rPr>
                <w:sz w:val="20"/>
                <w:szCs w:val="20"/>
                <w:lang w:val="it-IT"/>
              </w:rPr>
            </w:pPr>
          </w:p>
        </w:tc>
        <w:tc>
          <w:tcPr>
            <w:tcW w:w="1418" w:type="dxa"/>
          </w:tcPr>
          <w:p w14:paraId="0B784119" w14:textId="44FD60CC"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731A9EE6" w14:textId="77777777" w:rsidR="008E3BA7" w:rsidRPr="00BF7956" w:rsidRDefault="008E3BA7" w:rsidP="008E3BA7">
            <w:pPr>
              <w:rPr>
                <w:rFonts w:eastAsia="Calibri"/>
                <w:sz w:val="20"/>
                <w:szCs w:val="20"/>
                <w:lang w:val="ro-RO" w:eastAsia="en-US"/>
              </w:rPr>
            </w:pPr>
            <w:r w:rsidRPr="00BF7956">
              <w:rPr>
                <w:rFonts w:eastAsia="Calibri"/>
                <w:sz w:val="20"/>
                <w:szCs w:val="20"/>
                <w:lang w:val="ro-RO" w:eastAsia="en-US"/>
              </w:rPr>
              <w:t xml:space="preserve">Prevederile aferente obligațiunilor garantate </w:t>
            </w:r>
            <w:r w:rsidRPr="00BF7956">
              <w:rPr>
                <w:rFonts w:eastAsia="Calibri"/>
                <w:sz w:val="20"/>
                <w:szCs w:val="20"/>
                <w:lang w:val="ro-RO" w:eastAsia="en-US"/>
              </w:rPr>
              <w:lastRenderedPageBreak/>
              <w:t>nu au fost transpuse, deoarece obligațiunile garantate, în prezent la nivelul Republicii Moldova nu sunt reglementate de cadrul primar aferent desfășurării acestor operațiuni, elaborarea căruia este de competența CNPF.</w:t>
            </w:r>
          </w:p>
          <w:p w14:paraId="1F660E96" w14:textId="08E950DC" w:rsidR="008E3BA7" w:rsidRPr="00BF7956" w:rsidRDefault="008E3BA7" w:rsidP="008E3BA7">
            <w:pPr>
              <w:rPr>
                <w:sz w:val="20"/>
                <w:szCs w:val="20"/>
                <w:lang w:val="ro-RO"/>
              </w:rPr>
            </w:pPr>
          </w:p>
        </w:tc>
        <w:tc>
          <w:tcPr>
            <w:tcW w:w="1134" w:type="dxa"/>
            <w:tcBorders>
              <w:top w:val="single" w:sz="4" w:space="0" w:color="auto"/>
              <w:bottom w:val="single" w:sz="4" w:space="0" w:color="auto"/>
            </w:tcBorders>
          </w:tcPr>
          <w:p w14:paraId="294A544E" w14:textId="77777777" w:rsidR="008E3BA7" w:rsidRPr="00BF7956" w:rsidRDefault="008E3BA7" w:rsidP="008E3BA7">
            <w:pPr>
              <w:jc w:val="both"/>
              <w:rPr>
                <w:sz w:val="20"/>
                <w:szCs w:val="20"/>
                <w:lang w:val="ro-RO"/>
              </w:rPr>
            </w:pPr>
          </w:p>
        </w:tc>
        <w:tc>
          <w:tcPr>
            <w:tcW w:w="992" w:type="dxa"/>
          </w:tcPr>
          <w:p w14:paraId="2390F693" w14:textId="77777777" w:rsidR="008E3BA7" w:rsidRPr="00BF7956" w:rsidRDefault="008E3BA7" w:rsidP="008E3BA7">
            <w:pPr>
              <w:jc w:val="both"/>
              <w:rPr>
                <w:sz w:val="20"/>
                <w:szCs w:val="20"/>
                <w:lang w:val="ro-RO"/>
              </w:rPr>
            </w:pPr>
          </w:p>
        </w:tc>
      </w:tr>
      <w:tr w:rsidR="008E3BA7" w:rsidRPr="00BF7956" w14:paraId="3E3BB0C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77D6C1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3A173AB" w14:textId="2D41D98B"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3DF3CD6" w14:textId="6980A0B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3.4.4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62DD627" w14:textId="108972C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2A aferente sectorului public (CQS 1, CQS 2)</w:t>
                  </w:r>
                </w:p>
              </w:tc>
            </w:tr>
          </w:tbl>
          <w:p w14:paraId="4A55B12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24F505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C511C11" w14:textId="4426FBA6"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EAEABC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3.4.4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E0148B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2A aferente sectorului public (CQS 1, CQS 2)</w:t>
                  </w:r>
                </w:p>
              </w:tc>
            </w:tr>
          </w:tbl>
          <w:p w14:paraId="547B3D00" w14:textId="77777777" w:rsidR="008E3BA7" w:rsidRPr="00BF7956" w:rsidRDefault="008E3BA7" w:rsidP="008E3BA7">
            <w:pPr>
              <w:pStyle w:val="CM4"/>
              <w:spacing w:before="60" w:after="60"/>
              <w:rPr>
                <w:sz w:val="20"/>
                <w:szCs w:val="20"/>
                <w:lang w:val="en-US"/>
              </w:rPr>
            </w:pPr>
          </w:p>
        </w:tc>
        <w:tc>
          <w:tcPr>
            <w:tcW w:w="1418" w:type="dxa"/>
          </w:tcPr>
          <w:p w14:paraId="16E01C8B" w14:textId="2CC4231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EB3B76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F90632E" w14:textId="77777777" w:rsidR="008E3BA7" w:rsidRPr="00BF7956" w:rsidRDefault="008E3BA7" w:rsidP="008E3BA7">
            <w:pPr>
              <w:jc w:val="both"/>
              <w:rPr>
                <w:sz w:val="20"/>
                <w:szCs w:val="20"/>
                <w:lang w:val="ro-RO"/>
              </w:rPr>
            </w:pPr>
          </w:p>
        </w:tc>
        <w:tc>
          <w:tcPr>
            <w:tcW w:w="992" w:type="dxa"/>
          </w:tcPr>
          <w:p w14:paraId="2139B75A" w14:textId="77777777" w:rsidR="008E3BA7" w:rsidRPr="00BF7956" w:rsidRDefault="008E3BA7" w:rsidP="008E3BA7">
            <w:pPr>
              <w:jc w:val="both"/>
              <w:rPr>
                <w:sz w:val="20"/>
                <w:szCs w:val="20"/>
                <w:lang w:val="ro-RO"/>
              </w:rPr>
            </w:pPr>
          </w:p>
        </w:tc>
      </w:tr>
      <w:tr w:rsidR="008E3BA7" w:rsidRPr="00BF7956" w14:paraId="1A2CA0B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E61CF2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1A9551F" w14:textId="4AF7A367"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8337621" w14:textId="07B8C64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47B119" w14:textId="4CA6DD6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Active tranzacționabile de nivel 2B</w:t>
                  </w:r>
                </w:p>
              </w:tc>
            </w:tr>
          </w:tbl>
          <w:p w14:paraId="098506E2"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3BA92A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2A7B9B0" w14:textId="53A3B894"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78B3C6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399F0E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Active tranzacționabile de nivel 2B</w:t>
                  </w:r>
                </w:p>
              </w:tc>
            </w:tr>
          </w:tbl>
          <w:p w14:paraId="4F65C8A5" w14:textId="77777777" w:rsidR="008E3BA7" w:rsidRPr="00BF7956" w:rsidRDefault="008E3BA7" w:rsidP="008E3BA7">
            <w:pPr>
              <w:pStyle w:val="CM4"/>
              <w:spacing w:before="60" w:after="60"/>
              <w:rPr>
                <w:sz w:val="20"/>
                <w:szCs w:val="20"/>
                <w:lang w:val="it-IT"/>
              </w:rPr>
            </w:pPr>
          </w:p>
        </w:tc>
        <w:tc>
          <w:tcPr>
            <w:tcW w:w="1418" w:type="dxa"/>
          </w:tcPr>
          <w:p w14:paraId="0ECF32CB" w14:textId="7B82639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DDC48D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6E38207" w14:textId="77777777" w:rsidR="008E3BA7" w:rsidRPr="00BF7956" w:rsidRDefault="008E3BA7" w:rsidP="008E3BA7">
            <w:pPr>
              <w:jc w:val="both"/>
              <w:rPr>
                <w:sz w:val="20"/>
                <w:szCs w:val="20"/>
                <w:lang w:val="ro-RO"/>
              </w:rPr>
            </w:pPr>
          </w:p>
        </w:tc>
        <w:tc>
          <w:tcPr>
            <w:tcW w:w="992" w:type="dxa"/>
          </w:tcPr>
          <w:p w14:paraId="21000E2D" w14:textId="77777777" w:rsidR="008E3BA7" w:rsidRPr="00BF7956" w:rsidRDefault="008E3BA7" w:rsidP="008E3BA7">
            <w:pPr>
              <w:jc w:val="both"/>
              <w:rPr>
                <w:sz w:val="20"/>
                <w:szCs w:val="20"/>
                <w:lang w:val="ro-RO"/>
              </w:rPr>
            </w:pPr>
          </w:p>
        </w:tc>
      </w:tr>
      <w:tr w:rsidR="008E3BA7" w:rsidRPr="002C43F1" w14:paraId="73EDF12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643383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95487B9" w14:textId="75EA9F0B"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AE79069" w14:textId="78EEFF0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09BDB92" w14:textId="2A0C5A1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ABS de nivel 2B (CQS 1)</w:t>
                  </w:r>
                </w:p>
              </w:tc>
            </w:tr>
          </w:tbl>
          <w:p w14:paraId="5884C6F0"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47BA9E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6B30A8C" w14:textId="4DA13C88"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0870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DA8744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28286D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ABS de nivel 2B (CQS 1)</w:t>
                  </w:r>
                </w:p>
              </w:tc>
            </w:tr>
          </w:tbl>
          <w:p w14:paraId="78D0BEB9" w14:textId="77777777" w:rsidR="008E3BA7" w:rsidRPr="00BF7956" w:rsidRDefault="008E3BA7" w:rsidP="008E3BA7">
            <w:pPr>
              <w:pStyle w:val="CM4"/>
              <w:spacing w:before="60" w:after="60"/>
              <w:rPr>
                <w:sz w:val="20"/>
                <w:szCs w:val="20"/>
                <w:lang w:val="en-US"/>
              </w:rPr>
            </w:pPr>
          </w:p>
        </w:tc>
        <w:tc>
          <w:tcPr>
            <w:tcW w:w="1418" w:type="dxa"/>
          </w:tcPr>
          <w:p w14:paraId="7B31C1BB" w14:textId="7C393BB8"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3EE20CF5" w14:textId="7FBC8077" w:rsidR="008E3BA7" w:rsidRPr="00BF7956" w:rsidRDefault="008E3BA7" w:rsidP="008E3BA7">
            <w:pPr>
              <w:rPr>
                <w:sz w:val="20"/>
                <w:szCs w:val="20"/>
                <w:lang w:val="ro-RO"/>
              </w:rPr>
            </w:pPr>
            <w:r w:rsidRPr="00BF7956">
              <w:rPr>
                <w:sz w:val="20"/>
                <w:szCs w:val="20"/>
                <w:lang w:val="ro-RO"/>
              </w:rPr>
              <w:t xml:space="preserve">Prevederile aferente </w:t>
            </w:r>
            <w:r w:rsidRPr="00BF7956">
              <w:rPr>
                <w:color w:val="000000"/>
                <w:sz w:val="20"/>
                <w:szCs w:val="20"/>
                <w:lang w:val="en-US"/>
              </w:rPr>
              <w:t>titluri garantate cu active – ABS</w:t>
            </w:r>
            <w:r w:rsidRPr="00BF7956">
              <w:rPr>
                <w:b/>
                <w:bCs/>
                <w:color w:val="000000"/>
                <w:sz w:val="20"/>
                <w:szCs w:val="20"/>
                <w:lang w:val="en-US"/>
              </w:rPr>
              <w:t xml:space="preserve"> </w:t>
            </w:r>
            <w:r w:rsidRPr="00BF7956">
              <w:rPr>
                <w:sz w:val="20"/>
                <w:szCs w:val="20"/>
                <w:lang w:val="ro-RO"/>
              </w:rPr>
              <w:t xml:space="preserve">nu au fost transpuse deoarece </w:t>
            </w:r>
            <w:r w:rsidRPr="00BF7956">
              <w:rPr>
                <w:color w:val="000000"/>
                <w:sz w:val="20"/>
                <w:szCs w:val="20"/>
                <w:lang w:val="en-US"/>
              </w:rPr>
              <w:t>titlurile garantate cu active – ABS</w:t>
            </w:r>
            <w:r w:rsidRPr="00BF7956">
              <w:rPr>
                <w:rFonts w:eastAsia="Calibri"/>
                <w:sz w:val="20"/>
                <w:szCs w:val="20"/>
                <w:lang w:val="ro-RO" w:eastAsia="en-US"/>
              </w:rPr>
              <w:t>,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0117EDBF" w14:textId="77777777" w:rsidR="008E3BA7" w:rsidRPr="00BF7956" w:rsidRDefault="008E3BA7" w:rsidP="008E3BA7">
            <w:pPr>
              <w:jc w:val="both"/>
              <w:rPr>
                <w:sz w:val="20"/>
                <w:szCs w:val="20"/>
                <w:lang w:val="ro-RO"/>
              </w:rPr>
            </w:pPr>
          </w:p>
        </w:tc>
        <w:tc>
          <w:tcPr>
            <w:tcW w:w="992" w:type="dxa"/>
          </w:tcPr>
          <w:p w14:paraId="0E086A98" w14:textId="77777777" w:rsidR="008E3BA7" w:rsidRPr="00BF7956" w:rsidRDefault="008E3BA7" w:rsidP="008E3BA7">
            <w:pPr>
              <w:jc w:val="both"/>
              <w:rPr>
                <w:sz w:val="20"/>
                <w:szCs w:val="20"/>
                <w:lang w:val="ro-RO"/>
              </w:rPr>
            </w:pPr>
          </w:p>
        </w:tc>
      </w:tr>
      <w:tr w:rsidR="008E3BA7" w:rsidRPr="002C43F1" w14:paraId="45D5FFB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8569B4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BCFACEE" w14:textId="3FAFAFD8"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92A0D57" w14:textId="3B35E15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D4E8524" w14:textId="1287C9A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2B (CQS 1-6)</w:t>
                  </w:r>
                </w:p>
              </w:tc>
            </w:tr>
          </w:tbl>
          <w:p w14:paraId="3BF64DE9"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04DDC4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8346ED9" w14:textId="30E566D8"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E8D6D1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29F31F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 de nivel 2B (CQS 1-6)</w:t>
                  </w:r>
                </w:p>
              </w:tc>
            </w:tr>
          </w:tbl>
          <w:p w14:paraId="7317B0D1" w14:textId="77777777" w:rsidR="008E3BA7" w:rsidRPr="00BF7956" w:rsidRDefault="008E3BA7" w:rsidP="008E3BA7">
            <w:pPr>
              <w:pStyle w:val="CM4"/>
              <w:spacing w:before="60" w:after="60"/>
              <w:rPr>
                <w:sz w:val="20"/>
                <w:szCs w:val="20"/>
                <w:lang w:val="it-IT"/>
              </w:rPr>
            </w:pPr>
          </w:p>
        </w:tc>
        <w:tc>
          <w:tcPr>
            <w:tcW w:w="1418" w:type="dxa"/>
          </w:tcPr>
          <w:p w14:paraId="6EE74592" w14:textId="29BD4ECA"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3964F7C9" w14:textId="62265F48" w:rsidR="008E3BA7" w:rsidRPr="00BF7956" w:rsidRDefault="008E3BA7" w:rsidP="008E3BA7">
            <w:pPr>
              <w:rPr>
                <w:sz w:val="20"/>
                <w:szCs w:val="20"/>
                <w:lang w:val="ro-RO"/>
              </w:rPr>
            </w:pPr>
            <w:r w:rsidRPr="00BF7956">
              <w:rPr>
                <w:rFonts w:eastAsia="Calibri"/>
                <w:sz w:val="20"/>
                <w:szCs w:val="20"/>
                <w:lang w:val="ro-RO" w:eastAsia="en-US"/>
              </w:rPr>
              <w:t xml:space="preserve">Prevederile aferente obligațiunilor garantate nu au fost transpuse, deoarece obligațiunile garantate, în prezent la nivelul Republicii Moldova nu sunt reglementate de cadrul </w:t>
            </w:r>
            <w:r w:rsidRPr="00BF7956">
              <w:rPr>
                <w:rFonts w:eastAsia="Calibri"/>
                <w:sz w:val="20"/>
                <w:szCs w:val="20"/>
                <w:lang w:val="ro-RO" w:eastAsia="en-US"/>
              </w:rPr>
              <w:lastRenderedPageBreak/>
              <w:t>primar aferent desfășurării acestor operațiuni, elaborarea căruia este de competența CNPF.</w:t>
            </w:r>
          </w:p>
        </w:tc>
        <w:tc>
          <w:tcPr>
            <w:tcW w:w="1134" w:type="dxa"/>
            <w:tcBorders>
              <w:top w:val="single" w:sz="4" w:space="0" w:color="auto"/>
              <w:bottom w:val="single" w:sz="4" w:space="0" w:color="auto"/>
            </w:tcBorders>
          </w:tcPr>
          <w:p w14:paraId="7182BCB3" w14:textId="77777777" w:rsidR="008E3BA7" w:rsidRPr="00BF7956" w:rsidRDefault="008E3BA7" w:rsidP="008E3BA7">
            <w:pPr>
              <w:jc w:val="both"/>
              <w:rPr>
                <w:sz w:val="20"/>
                <w:szCs w:val="20"/>
                <w:lang w:val="ro-RO"/>
              </w:rPr>
            </w:pPr>
          </w:p>
        </w:tc>
        <w:tc>
          <w:tcPr>
            <w:tcW w:w="992" w:type="dxa"/>
          </w:tcPr>
          <w:p w14:paraId="3F8E0155" w14:textId="77777777" w:rsidR="008E3BA7" w:rsidRPr="00BF7956" w:rsidRDefault="008E3BA7" w:rsidP="008E3BA7">
            <w:pPr>
              <w:jc w:val="both"/>
              <w:rPr>
                <w:sz w:val="20"/>
                <w:szCs w:val="20"/>
                <w:lang w:val="ro-RO"/>
              </w:rPr>
            </w:pPr>
          </w:p>
        </w:tc>
      </w:tr>
      <w:tr w:rsidR="008E3BA7" w:rsidRPr="00BF7956" w14:paraId="5A3C17A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D473AA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D90E864" w14:textId="74FB5A7F"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B2FEAC5" w14:textId="24241F3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84E4203" w14:textId="39E49C7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2B (CQS 1-3)</w:t>
                  </w:r>
                </w:p>
              </w:tc>
            </w:tr>
          </w:tbl>
          <w:p w14:paraId="3F598FD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5301C3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F6BF9C1" w14:textId="7F9A9E4E"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890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C593DE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6A78F4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corporative de nivel 2B (CQS 1-3)</w:t>
                  </w:r>
                </w:p>
              </w:tc>
            </w:tr>
          </w:tbl>
          <w:p w14:paraId="69F0B46D" w14:textId="77777777" w:rsidR="008E3BA7" w:rsidRPr="00BF7956" w:rsidRDefault="008E3BA7" w:rsidP="008E3BA7">
            <w:pPr>
              <w:pStyle w:val="CM4"/>
              <w:spacing w:before="60" w:after="60"/>
              <w:rPr>
                <w:sz w:val="20"/>
                <w:szCs w:val="20"/>
                <w:lang w:val="it-IT"/>
              </w:rPr>
            </w:pPr>
          </w:p>
        </w:tc>
        <w:tc>
          <w:tcPr>
            <w:tcW w:w="1418" w:type="dxa"/>
          </w:tcPr>
          <w:p w14:paraId="52469AB4" w14:textId="506CF36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9A9D4D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3561F36" w14:textId="77777777" w:rsidR="008E3BA7" w:rsidRPr="00BF7956" w:rsidRDefault="008E3BA7" w:rsidP="008E3BA7">
            <w:pPr>
              <w:jc w:val="both"/>
              <w:rPr>
                <w:sz w:val="20"/>
                <w:szCs w:val="20"/>
                <w:lang w:val="ro-RO"/>
              </w:rPr>
            </w:pPr>
          </w:p>
        </w:tc>
        <w:tc>
          <w:tcPr>
            <w:tcW w:w="992" w:type="dxa"/>
          </w:tcPr>
          <w:p w14:paraId="19F8009C" w14:textId="77777777" w:rsidR="008E3BA7" w:rsidRPr="00BF7956" w:rsidRDefault="008E3BA7" w:rsidP="008E3BA7">
            <w:pPr>
              <w:jc w:val="both"/>
              <w:rPr>
                <w:sz w:val="20"/>
                <w:szCs w:val="20"/>
                <w:lang w:val="ro-RO"/>
              </w:rPr>
            </w:pPr>
          </w:p>
        </w:tc>
      </w:tr>
      <w:tr w:rsidR="008E3BA7" w:rsidRPr="00BF7956" w14:paraId="3EB0674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751D44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0A17F58" w14:textId="58D535DD"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E9F1DD3" w14:textId="67C00A3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947ECBC" w14:textId="4D798D9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 de nivel 2B</w:t>
                  </w:r>
                </w:p>
              </w:tc>
            </w:tr>
          </w:tbl>
          <w:p w14:paraId="462F58AA"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8464FD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3896860" w14:textId="33D38B68"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9761A7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2E14CA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 de nivel 2B</w:t>
                  </w:r>
                </w:p>
              </w:tc>
            </w:tr>
          </w:tbl>
          <w:p w14:paraId="216953EB" w14:textId="77777777" w:rsidR="008E3BA7" w:rsidRPr="00BF7956" w:rsidRDefault="008E3BA7" w:rsidP="008E3BA7">
            <w:pPr>
              <w:pStyle w:val="CM4"/>
              <w:spacing w:before="60" w:after="60"/>
              <w:rPr>
                <w:sz w:val="20"/>
                <w:szCs w:val="20"/>
              </w:rPr>
            </w:pPr>
          </w:p>
        </w:tc>
        <w:tc>
          <w:tcPr>
            <w:tcW w:w="1418" w:type="dxa"/>
          </w:tcPr>
          <w:p w14:paraId="60C50FE6" w14:textId="7EC346E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2FFC6D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97D0419" w14:textId="77777777" w:rsidR="008E3BA7" w:rsidRPr="00BF7956" w:rsidRDefault="008E3BA7" w:rsidP="008E3BA7">
            <w:pPr>
              <w:jc w:val="both"/>
              <w:rPr>
                <w:sz w:val="20"/>
                <w:szCs w:val="20"/>
                <w:lang w:val="ro-RO"/>
              </w:rPr>
            </w:pPr>
          </w:p>
        </w:tc>
        <w:tc>
          <w:tcPr>
            <w:tcW w:w="992" w:type="dxa"/>
          </w:tcPr>
          <w:p w14:paraId="3C12F792" w14:textId="77777777" w:rsidR="008E3BA7" w:rsidRPr="00BF7956" w:rsidRDefault="008E3BA7" w:rsidP="008E3BA7">
            <w:pPr>
              <w:jc w:val="both"/>
              <w:rPr>
                <w:sz w:val="20"/>
                <w:szCs w:val="20"/>
                <w:lang w:val="ro-RO"/>
              </w:rPr>
            </w:pPr>
          </w:p>
        </w:tc>
      </w:tr>
      <w:tr w:rsidR="008E3BA7" w:rsidRPr="00BF7956" w14:paraId="7B4713C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467C9C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9492B29" w14:textId="4C6FBC63"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709CAC5" w14:textId="3A993A6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DB4993F" w14:textId="01A6A22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2B aferente sectorului public (CQS 3-5)</w:t>
                  </w:r>
                </w:p>
              </w:tc>
            </w:tr>
          </w:tbl>
          <w:p w14:paraId="24410C84"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30A7A0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C68C209" w14:textId="414DE092"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9E8903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3.5.5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9F04EC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Active de nivel 2B aferente sectorului public (CQS 3-5)</w:t>
                  </w:r>
                </w:p>
              </w:tc>
            </w:tr>
          </w:tbl>
          <w:p w14:paraId="6E89DFD1" w14:textId="77777777" w:rsidR="008E3BA7" w:rsidRPr="00BF7956" w:rsidRDefault="008E3BA7" w:rsidP="008E3BA7">
            <w:pPr>
              <w:pStyle w:val="CM4"/>
              <w:spacing w:before="60" w:after="60"/>
              <w:rPr>
                <w:sz w:val="20"/>
                <w:szCs w:val="20"/>
                <w:lang w:val="en-US"/>
              </w:rPr>
            </w:pPr>
          </w:p>
        </w:tc>
        <w:tc>
          <w:tcPr>
            <w:tcW w:w="1418" w:type="dxa"/>
          </w:tcPr>
          <w:p w14:paraId="3A5C5A26" w14:textId="24850A5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3FB3C2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83F3733" w14:textId="77777777" w:rsidR="008E3BA7" w:rsidRPr="00BF7956" w:rsidRDefault="008E3BA7" w:rsidP="008E3BA7">
            <w:pPr>
              <w:jc w:val="both"/>
              <w:rPr>
                <w:sz w:val="20"/>
                <w:szCs w:val="20"/>
                <w:lang w:val="ro-RO"/>
              </w:rPr>
            </w:pPr>
          </w:p>
        </w:tc>
        <w:tc>
          <w:tcPr>
            <w:tcW w:w="992" w:type="dxa"/>
          </w:tcPr>
          <w:p w14:paraId="0C357E9D" w14:textId="77777777" w:rsidR="008E3BA7" w:rsidRPr="00BF7956" w:rsidRDefault="008E3BA7" w:rsidP="008E3BA7">
            <w:pPr>
              <w:jc w:val="both"/>
              <w:rPr>
                <w:sz w:val="20"/>
                <w:szCs w:val="20"/>
                <w:lang w:val="ro-RO"/>
              </w:rPr>
            </w:pPr>
          </w:p>
        </w:tc>
      </w:tr>
      <w:tr w:rsidR="008E3BA7" w:rsidRPr="00BF7956" w14:paraId="1C135623"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24F4C6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CB47A23" w14:textId="3B8C0EC1"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2BE55F4" w14:textId="25B0BB45"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AF41ED2" w14:textId="79C4A201"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Alte active tranzacționabile</w:t>
                  </w:r>
                </w:p>
              </w:tc>
            </w:tr>
          </w:tbl>
          <w:p w14:paraId="13DE454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96E5FB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E2F6B4A" w14:textId="520D8913"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C33F23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DF027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Alte active tranzacționabile</w:t>
                  </w:r>
                </w:p>
              </w:tc>
            </w:tr>
          </w:tbl>
          <w:p w14:paraId="51158392" w14:textId="77777777" w:rsidR="008E3BA7" w:rsidRPr="00BF7956" w:rsidRDefault="008E3BA7" w:rsidP="008E3BA7">
            <w:pPr>
              <w:pStyle w:val="CM4"/>
              <w:spacing w:before="60" w:after="60"/>
              <w:rPr>
                <w:sz w:val="20"/>
                <w:szCs w:val="20"/>
              </w:rPr>
            </w:pPr>
          </w:p>
        </w:tc>
        <w:tc>
          <w:tcPr>
            <w:tcW w:w="1418" w:type="dxa"/>
          </w:tcPr>
          <w:p w14:paraId="416567C2" w14:textId="1EEAFC2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A4A50A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004BB9C" w14:textId="77777777" w:rsidR="008E3BA7" w:rsidRPr="00BF7956" w:rsidRDefault="008E3BA7" w:rsidP="008E3BA7">
            <w:pPr>
              <w:jc w:val="both"/>
              <w:rPr>
                <w:sz w:val="20"/>
                <w:szCs w:val="20"/>
                <w:lang w:val="ro-RO"/>
              </w:rPr>
            </w:pPr>
          </w:p>
        </w:tc>
        <w:tc>
          <w:tcPr>
            <w:tcW w:w="992" w:type="dxa"/>
          </w:tcPr>
          <w:p w14:paraId="109E1835" w14:textId="77777777" w:rsidR="008E3BA7" w:rsidRPr="00BF7956" w:rsidRDefault="008E3BA7" w:rsidP="008E3BA7">
            <w:pPr>
              <w:jc w:val="both"/>
              <w:rPr>
                <w:sz w:val="20"/>
                <w:szCs w:val="20"/>
                <w:lang w:val="ro-RO"/>
              </w:rPr>
            </w:pPr>
          </w:p>
        </w:tc>
      </w:tr>
      <w:tr w:rsidR="008E3BA7" w:rsidRPr="00BF7956" w14:paraId="190FADF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3E5EB5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6E8AC54" w14:textId="7CEB0B44"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727D0EF" w14:textId="3CB4098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D872010" w14:textId="005A666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Administrația centrală (CQS1)</w:t>
                  </w:r>
                </w:p>
              </w:tc>
            </w:tr>
          </w:tbl>
          <w:p w14:paraId="6D81E262"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7327BC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0EF9B46" w14:textId="102FFB79"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324B3F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2197F3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Administrația centrală (CQS1)</w:t>
                  </w:r>
                </w:p>
              </w:tc>
            </w:tr>
          </w:tbl>
          <w:p w14:paraId="2AD6C84F" w14:textId="77777777" w:rsidR="008E3BA7" w:rsidRPr="00BF7956" w:rsidRDefault="008E3BA7" w:rsidP="008E3BA7">
            <w:pPr>
              <w:pStyle w:val="CM4"/>
              <w:spacing w:before="60" w:after="60"/>
              <w:rPr>
                <w:sz w:val="20"/>
                <w:szCs w:val="20"/>
              </w:rPr>
            </w:pPr>
          </w:p>
        </w:tc>
        <w:tc>
          <w:tcPr>
            <w:tcW w:w="1418" w:type="dxa"/>
          </w:tcPr>
          <w:p w14:paraId="0CCF382C" w14:textId="37D76B3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4AAAFA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3224276" w14:textId="77777777" w:rsidR="008E3BA7" w:rsidRPr="00BF7956" w:rsidRDefault="008E3BA7" w:rsidP="008E3BA7">
            <w:pPr>
              <w:jc w:val="both"/>
              <w:rPr>
                <w:sz w:val="20"/>
                <w:szCs w:val="20"/>
                <w:lang w:val="ro-RO"/>
              </w:rPr>
            </w:pPr>
          </w:p>
        </w:tc>
        <w:tc>
          <w:tcPr>
            <w:tcW w:w="992" w:type="dxa"/>
          </w:tcPr>
          <w:p w14:paraId="745C6EB3" w14:textId="77777777" w:rsidR="008E3BA7" w:rsidRPr="00BF7956" w:rsidRDefault="008E3BA7" w:rsidP="008E3BA7">
            <w:pPr>
              <w:jc w:val="both"/>
              <w:rPr>
                <w:sz w:val="20"/>
                <w:szCs w:val="20"/>
                <w:lang w:val="ro-RO"/>
              </w:rPr>
            </w:pPr>
          </w:p>
        </w:tc>
      </w:tr>
      <w:tr w:rsidR="008E3BA7" w:rsidRPr="00BF7956" w14:paraId="217FCA1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7F20EB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682473D" w14:textId="3017B457"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EF3D8E2" w14:textId="081B0D0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BD43B41" w14:textId="27733B9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Administrația centrală (CQS 2 &amp; 3)</w:t>
                  </w:r>
                </w:p>
              </w:tc>
            </w:tr>
          </w:tbl>
          <w:p w14:paraId="2EF488F4"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872017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094A799" w14:textId="1A47D785"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1EE68F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23E3B3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Administrația centrală (CQS 2 &amp; 3)</w:t>
                  </w:r>
                </w:p>
              </w:tc>
            </w:tr>
          </w:tbl>
          <w:p w14:paraId="7636C284" w14:textId="77777777" w:rsidR="008E3BA7" w:rsidRPr="00BF7956" w:rsidRDefault="008E3BA7" w:rsidP="008E3BA7">
            <w:pPr>
              <w:pStyle w:val="CM4"/>
              <w:spacing w:before="60" w:after="60"/>
              <w:rPr>
                <w:sz w:val="20"/>
                <w:szCs w:val="20"/>
              </w:rPr>
            </w:pPr>
          </w:p>
        </w:tc>
        <w:tc>
          <w:tcPr>
            <w:tcW w:w="1418" w:type="dxa"/>
          </w:tcPr>
          <w:p w14:paraId="2DD145E7" w14:textId="5E39B03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07383D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A9494AE" w14:textId="77777777" w:rsidR="008E3BA7" w:rsidRPr="00BF7956" w:rsidRDefault="008E3BA7" w:rsidP="008E3BA7">
            <w:pPr>
              <w:jc w:val="both"/>
              <w:rPr>
                <w:sz w:val="20"/>
                <w:szCs w:val="20"/>
                <w:lang w:val="ro-RO"/>
              </w:rPr>
            </w:pPr>
          </w:p>
        </w:tc>
        <w:tc>
          <w:tcPr>
            <w:tcW w:w="992" w:type="dxa"/>
          </w:tcPr>
          <w:p w14:paraId="3118DA69" w14:textId="77777777" w:rsidR="008E3BA7" w:rsidRPr="00BF7956" w:rsidRDefault="008E3BA7" w:rsidP="008E3BA7">
            <w:pPr>
              <w:jc w:val="both"/>
              <w:rPr>
                <w:sz w:val="20"/>
                <w:szCs w:val="20"/>
                <w:lang w:val="ro-RO"/>
              </w:rPr>
            </w:pPr>
          </w:p>
        </w:tc>
      </w:tr>
      <w:tr w:rsidR="008E3BA7" w:rsidRPr="00BF7956" w14:paraId="67F2E89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F20C9F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C2A9397" w14:textId="211575A1"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86CC1EC" w14:textId="6BB3BD8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58722B" w14:textId="14FB6F4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w:t>
                  </w:r>
                </w:p>
              </w:tc>
            </w:tr>
          </w:tbl>
          <w:p w14:paraId="0E7698A2"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2D5896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E221975" w14:textId="6B0FE6F0"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D37445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C44B4B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Acțiuni</w:t>
                  </w:r>
                </w:p>
              </w:tc>
            </w:tr>
          </w:tbl>
          <w:p w14:paraId="76CA3938" w14:textId="77777777" w:rsidR="008E3BA7" w:rsidRPr="00BF7956" w:rsidRDefault="008E3BA7" w:rsidP="008E3BA7">
            <w:pPr>
              <w:pStyle w:val="CM4"/>
              <w:spacing w:before="60" w:after="60"/>
              <w:rPr>
                <w:sz w:val="20"/>
                <w:szCs w:val="20"/>
              </w:rPr>
            </w:pPr>
          </w:p>
        </w:tc>
        <w:tc>
          <w:tcPr>
            <w:tcW w:w="1418" w:type="dxa"/>
          </w:tcPr>
          <w:p w14:paraId="4702064A" w14:textId="6629280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3B822E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A2069A3" w14:textId="77777777" w:rsidR="008E3BA7" w:rsidRPr="00BF7956" w:rsidRDefault="008E3BA7" w:rsidP="008E3BA7">
            <w:pPr>
              <w:jc w:val="both"/>
              <w:rPr>
                <w:sz w:val="20"/>
                <w:szCs w:val="20"/>
                <w:lang w:val="ro-RO"/>
              </w:rPr>
            </w:pPr>
          </w:p>
        </w:tc>
        <w:tc>
          <w:tcPr>
            <w:tcW w:w="992" w:type="dxa"/>
          </w:tcPr>
          <w:p w14:paraId="08816B02" w14:textId="77777777" w:rsidR="008E3BA7" w:rsidRPr="00BF7956" w:rsidRDefault="008E3BA7" w:rsidP="008E3BA7">
            <w:pPr>
              <w:jc w:val="both"/>
              <w:rPr>
                <w:sz w:val="20"/>
                <w:szCs w:val="20"/>
                <w:lang w:val="ro-RO"/>
              </w:rPr>
            </w:pPr>
          </w:p>
        </w:tc>
      </w:tr>
      <w:tr w:rsidR="008E3BA7" w:rsidRPr="002C43F1" w14:paraId="2652EF1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4F1712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7F1DE1C" w14:textId="6614AF87"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4E27A90" w14:textId="226914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84CE76" w14:textId="020A498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w:t>
                  </w:r>
                </w:p>
              </w:tc>
            </w:tr>
          </w:tbl>
          <w:p w14:paraId="61D42A03"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08D71E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FB55343" w14:textId="7633995D"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A48294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D65417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Obligațiuni garantate</w:t>
                  </w:r>
                </w:p>
              </w:tc>
            </w:tr>
          </w:tbl>
          <w:p w14:paraId="235C9659" w14:textId="77777777" w:rsidR="008E3BA7" w:rsidRPr="00BF7956" w:rsidRDefault="008E3BA7" w:rsidP="008E3BA7">
            <w:pPr>
              <w:pStyle w:val="CM4"/>
              <w:spacing w:before="60" w:after="60"/>
              <w:rPr>
                <w:sz w:val="20"/>
                <w:szCs w:val="20"/>
              </w:rPr>
            </w:pPr>
          </w:p>
        </w:tc>
        <w:tc>
          <w:tcPr>
            <w:tcW w:w="1418" w:type="dxa"/>
          </w:tcPr>
          <w:p w14:paraId="3200A555" w14:textId="038D0BFB"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089D575D" w14:textId="77777777" w:rsidR="008E3BA7" w:rsidRPr="00BF7956" w:rsidRDefault="008E3BA7" w:rsidP="008E3BA7">
            <w:pPr>
              <w:rPr>
                <w:rFonts w:eastAsia="Calibri"/>
                <w:sz w:val="20"/>
                <w:szCs w:val="20"/>
                <w:lang w:val="ro-RO" w:eastAsia="en-US"/>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p w14:paraId="5DD36EEA" w14:textId="67CB78FC" w:rsidR="008E3BA7" w:rsidRPr="00BF7956" w:rsidRDefault="008E3BA7" w:rsidP="008E3BA7">
            <w:pPr>
              <w:rPr>
                <w:sz w:val="20"/>
                <w:szCs w:val="20"/>
                <w:lang w:val="ro-RO"/>
              </w:rPr>
            </w:pPr>
          </w:p>
        </w:tc>
        <w:tc>
          <w:tcPr>
            <w:tcW w:w="1134" w:type="dxa"/>
            <w:tcBorders>
              <w:top w:val="single" w:sz="4" w:space="0" w:color="auto"/>
              <w:bottom w:val="single" w:sz="4" w:space="0" w:color="auto"/>
            </w:tcBorders>
          </w:tcPr>
          <w:p w14:paraId="1352FA53" w14:textId="77777777" w:rsidR="008E3BA7" w:rsidRPr="00BF7956" w:rsidRDefault="008E3BA7" w:rsidP="008E3BA7">
            <w:pPr>
              <w:jc w:val="both"/>
              <w:rPr>
                <w:sz w:val="20"/>
                <w:szCs w:val="20"/>
                <w:lang w:val="ro-RO"/>
              </w:rPr>
            </w:pPr>
          </w:p>
        </w:tc>
        <w:tc>
          <w:tcPr>
            <w:tcW w:w="992" w:type="dxa"/>
          </w:tcPr>
          <w:p w14:paraId="715A0A88" w14:textId="77777777" w:rsidR="008E3BA7" w:rsidRPr="00BF7956" w:rsidRDefault="008E3BA7" w:rsidP="008E3BA7">
            <w:pPr>
              <w:jc w:val="both"/>
              <w:rPr>
                <w:sz w:val="20"/>
                <w:szCs w:val="20"/>
                <w:lang w:val="ro-RO"/>
              </w:rPr>
            </w:pPr>
          </w:p>
        </w:tc>
      </w:tr>
      <w:tr w:rsidR="008E3BA7" w:rsidRPr="002C43F1" w14:paraId="196C9FB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E2C683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D8E379D" w14:textId="02036FCD"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3F84B18" w14:textId="69C6E10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7658F04" w14:textId="64167393"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ABS</w:t>
                  </w:r>
                </w:p>
              </w:tc>
            </w:tr>
          </w:tbl>
          <w:p w14:paraId="5C48773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E9A1BA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BFE956D" w14:textId="5354B2E6"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0B7240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3.6.5</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CED170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ABS</w:t>
                  </w:r>
                </w:p>
              </w:tc>
            </w:tr>
          </w:tbl>
          <w:p w14:paraId="63130AB1" w14:textId="77777777" w:rsidR="008E3BA7" w:rsidRPr="00BF7956" w:rsidRDefault="008E3BA7" w:rsidP="008E3BA7">
            <w:pPr>
              <w:pStyle w:val="CM4"/>
              <w:spacing w:before="60" w:after="60"/>
              <w:rPr>
                <w:sz w:val="20"/>
                <w:szCs w:val="20"/>
              </w:rPr>
            </w:pPr>
          </w:p>
        </w:tc>
        <w:tc>
          <w:tcPr>
            <w:tcW w:w="1418" w:type="dxa"/>
          </w:tcPr>
          <w:p w14:paraId="6C8E1698" w14:textId="65BBD765"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2205AD72" w14:textId="3DECCDC9" w:rsidR="008E3BA7" w:rsidRPr="00BF7956" w:rsidRDefault="008E3BA7" w:rsidP="008E3BA7">
            <w:pPr>
              <w:rPr>
                <w:sz w:val="20"/>
                <w:szCs w:val="20"/>
                <w:lang w:val="ro-RO"/>
              </w:rPr>
            </w:pPr>
            <w:r w:rsidRPr="00BF7956">
              <w:rPr>
                <w:sz w:val="20"/>
                <w:szCs w:val="20"/>
                <w:lang w:val="ro-RO"/>
              </w:rPr>
              <w:t xml:space="preserve">Prevederile aferente titluri garantate cu active – ABS nu au fost </w:t>
            </w:r>
            <w:r w:rsidRPr="00BF7956">
              <w:rPr>
                <w:sz w:val="20"/>
                <w:szCs w:val="20"/>
                <w:lang w:val="ro-RO"/>
              </w:rPr>
              <w:lastRenderedPageBreak/>
              <w:t>transpuse deoarece titlurile garantate cu active – ABS,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4EDBBB5D" w14:textId="77777777" w:rsidR="008E3BA7" w:rsidRPr="00BF7956" w:rsidRDefault="008E3BA7" w:rsidP="008E3BA7">
            <w:pPr>
              <w:jc w:val="both"/>
              <w:rPr>
                <w:sz w:val="20"/>
                <w:szCs w:val="20"/>
                <w:lang w:val="ro-RO"/>
              </w:rPr>
            </w:pPr>
          </w:p>
        </w:tc>
        <w:tc>
          <w:tcPr>
            <w:tcW w:w="992" w:type="dxa"/>
          </w:tcPr>
          <w:p w14:paraId="5EAFCD87" w14:textId="77777777" w:rsidR="008E3BA7" w:rsidRPr="00BF7956" w:rsidRDefault="008E3BA7" w:rsidP="008E3BA7">
            <w:pPr>
              <w:jc w:val="both"/>
              <w:rPr>
                <w:sz w:val="20"/>
                <w:szCs w:val="20"/>
                <w:lang w:val="ro-RO"/>
              </w:rPr>
            </w:pPr>
          </w:p>
        </w:tc>
      </w:tr>
      <w:tr w:rsidR="008E3BA7" w:rsidRPr="00BF7956" w14:paraId="4CDACF22"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2F1DEAB"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8A7D98F" w14:textId="480727D5"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A51FDEA" w14:textId="080AD74B"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686F856" w14:textId="3C7EB57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54AC402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A3FF07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8EAF596" w14:textId="03FB21D2"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8DC5E5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3.6.6</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1B600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active tranzacționabile</w:t>
                  </w:r>
                </w:p>
              </w:tc>
            </w:tr>
          </w:tbl>
          <w:p w14:paraId="6F26AB61" w14:textId="77777777" w:rsidR="008E3BA7" w:rsidRPr="00BF7956" w:rsidRDefault="008E3BA7" w:rsidP="008E3BA7">
            <w:pPr>
              <w:pStyle w:val="CM4"/>
              <w:spacing w:before="60" w:after="60"/>
              <w:rPr>
                <w:sz w:val="20"/>
                <w:szCs w:val="20"/>
              </w:rPr>
            </w:pPr>
          </w:p>
        </w:tc>
        <w:tc>
          <w:tcPr>
            <w:tcW w:w="1418" w:type="dxa"/>
          </w:tcPr>
          <w:p w14:paraId="39898872" w14:textId="7C0AB52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C445FF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6219B49" w14:textId="77777777" w:rsidR="008E3BA7" w:rsidRPr="00BF7956" w:rsidRDefault="008E3BA7" w:rsidP="008E3BA7">
            <w:pPr>
              <w:jc w:val="both"/>
              <w:rPr>
                <w:sz w:val="20"/>
                <w:szCs w:val="20"/>
                <w:lang w:val="ro-RO"/>
              </w:rPr>
            </w:pPr>
          </w:p>
        </w:tc>
        <w:tc>
          <w:tcPr>
            <w:tcW w:w="992" w:type="dxa"/>
          </w:tcPr>
          <w:p w14:paraId="224F0761" w14:textId="77777777" w:rsidR="008E3BA7" w:rsidRPr="00BF7956" w:rsidRDefault="008E3BA7" w:rsidP="008E3BA7">
            <w:pPr>
              <w:jc w:val="both"/>
              <w:rPr>
                <w:sz w:val="20"/>
                <w:szCs w:val="20"/>
                <w:lang w:val="ro-RO"/>
              </w:rPr>
            </w:pPr>
          </w:p>
        </w:tc>
      </w:tr>
      <w:tr w:rsidR="008E3BA7" w:rsidRPr="00BF7956" w14:paraId="6BA4835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6973AD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3F847BF" w14:textId="021F3B35"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6E54D85" w14:textId="21BCA9A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5DBA6B5" w14:textId="08557415"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Active netranzacționabile eligibile pentru banca centrală</w:t>
                  </w:r>
                </w:p>
              </w:tc>
            </w:tr>
          </w:tbl>
          <w:p w14:paraId="7E34815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30DB84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3AA6926" w14:textId="2A83766E" w:rsidR="008E3BA7" w:rsidRPr="00BF7956" w:rsidRDefault="0045087B" w:rsidP="008E3BA7">
                  <w:pPr>
                    <w:pStyle w:val="CM4"/>
                    <w:framePr w:hSpace="180" w:wrap="around" w:vAnchor="text" w:hAnchor="margin" w:y="137"/>
                    <w:spacing w:before="60" w:after="60"/>
                    <w:rPr>
                      <w:i/>
                      <w:iCs/>
                      <w:color w:val="000000"/>
                      <w:sz w:val="20"/>
                      <w:szCs w:val="20"/>
                    </w:rPr>
                  </w:pPr>
                  <w:r w:rsidRPr="00BF7956">
                    <w:rPr>
                      <w:sz w:val="20"/>
                      <w:szCs w:val="20"/>
                    </w:rPr>
                    <w:t>0</w:t>
                  </w:r>
                  <w:r w:rsidR="008E3BA7" w:rsidRPr="00BF7956">
                    <w:rPr>
                      <w:sz w:val="20"/>
                      <w:szCs w:val="20"/>
                    </w:rPr>
                    <w:t>990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B908DC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39CD7C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Active netranzacționabile eligibile pentru banca centrală</w:t>
                  </w:r>
                </w:p>
              </w:tc>
            </w:tr>
          </w:tbl>
          <w:p w14:paraId="3F539923" w14:textId="77777777" w:rsidR="008E3BA7" w:rsidRPr="00BF7956" w:rsidRDefault="008E3BA7" w:rsidP="008E3BA7">
            <w:pPr>
              <w:pStyle w:val="CM4"/>
              <w:spacing w:before="60" w:after="60"/>
              <w:rPr>
                <w:sz w:val="20"/>
                <w:szCs w:val="20"/>
                <w:lang w:val="it-IT"/>
              </w:rPr>
            </w:pPr>
          </w:p>
        </w:tc>
        <w:tc>
          <w:tcPr>
            <w:tcW w:w="1418" w:type="dxa"/>
          </w:tcPr>
          <w:p w14:paraId="0526B128" w14:textId="41D5AE6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866EC0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F7A821E" w14:textId="77777777" w:rsidR="008E3BA7" w:rsidRPr="00BF7956" w:rsidRDefault="008E3BA7" w:rsidP="008E3BA7">
            <w:pPr>
              <w:jc w:val="both"/>
              <w:rPr>
                <w:sz w:val="20"/>
                <w:szCs w:val="20"/>
                <w:lang w:val="ro-RO"/>
              </w:rPr>
            </w:pPr>
          </w:p>
        </w:tc>
        <w:tc>
          <w:tcPr>
            <w:tcW w:w="992" w:type="dxa"/>
          </w:tcPr>
          <w:p w14:paraId="79DE991A" w14:textId="77777777" w:rsidR="008E3BA7" w:rsidRPr="00BF7956" w:rsidRDefault="008E3BA7" w:rsidP="008E3BA7">
            <w:pPr>
              <w:jc w:val="both"/>
              <w:rPr>
                <w:sz w:val="20"/>
                <w:szCs w:val="20"/>
                <w:lang w:val="ro-RO"/>
              </w:rPr>
            </w:pPr>
          </w:p>
        </w:tc>
      </w:tr>
      <w:tr w:rsidR="0045087B" w:rsidRPr="00BF7956" w14:paraId="71E3A225"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45087B" w:rsidRPr="002C43F1" w14:paraId="00648303"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7056DA56" w14:textId="35499D07"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0991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F02F78C" w14:textId="606675AE" w:rsidR="0045087B" w:rsidRPr="00BF7956" w:rsidRDefault="0045087B" w:rsidP="0045087B">
                  <w:pPr>
                    <w:pStyle w:val="CM4"/>
                    <w:framePr w:hSpace="180" w:wrap="around" w:vAnchor="text" w:hAnchor="margin" w:y="137"/>
                    <w:spacing w:before="60" w:after="60"/>
                    <w:rPr>
                      <w:i/>
                      <w:iCs/>
                      <w:color w:val="000000"/>
                      <w:sz w:val="20"/>
                      <w:szCs w:val="20"/>
                    </w:rPr>
                  </w:pPr>
                  <w:r w:rsidRPr="00BF7956">
                    <w:rPr>
                      <w:b/>
                      <w:bCs/>
                      <w:sz w:val="20"/>
                      <w:szCs w:val="20"/>
                    </w:rPr>
                    <w:t>3.7a</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FDF9BB0" w14:textId="7B105233" w:rsidR="0045087B" w:rsidRPr="00BF7956" w:rsidRDefault="0045087B" w:rsidP="0045087B">
                  <w:pPr>
                    <w:pStyle w:val="CM4"/>
                    <w:framePr w:hSpace="180" w:wrap="around" w:vAnchor="text" w:hAnchor="margin" w:y="137"/>
                    <w:spacing w:before="60" w:after="60"/>
                    <w:rPr>
                      <w:i/>
                      <w:iCs/>
                      <w:color w:val="000000"/>
                      <w:sz w:val="20"/>
                      <w:szCs w:val="20"/>
                    </w:rPr>
                  </w:pPr>
                  <w:r w:rsidRPr="00BF7956">
                    <w:rPr>
                      <w:b/>
                      <w:bCs/>
                      <w:sz w:val="20"/>
                      <w:szCs w:val="20"/>
                    </w:rPr>
                    <w:t>Emisiuni proprii eligibile pentru băncile centrale</w:t>
                  </w:r>
                </w:p>
              </w:tc>
            </w:tr>
          </w:tbl>
          <w:p w14:paraId="1D5F4320" w14:textId="77777777" w:rsidR="0045087B" w:rsidRPr="00BF7956" w:rsidRDefault="0045087B"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45087B" w:rsidRPr="002C43F1" w14:paraId="7BCD430A"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077D66C2" w14:textId="325F85E8"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0991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0DBCC02" w14:textId="11275659" w:rsidR="0045087B" w:rsidRPr="00BF7956" w:rsidRDefault="0045087B" w:rsidP="0045087B">
                  <w:pPr>
                    <w:pStyle w:val="CM4"/>
                    <w:framePr w:hSpace="180" w:wrap="around" w:vAnchor="text" w:hAnchor="margin" w:y="137"/>
                    <w:spacing w:before="60" w:after="60"/>
                    <w:rPr>
                      <w:i/>
                      <w:iCs/>
                      <w:color w:val="000000"/>
                      <w:sz w:val="20"/>
                      <w:szCs w:val="20"/>
                    </w:rPr>
                  </w:pPr>
                  <w:r w:rsidRPr="00BF7956">
                    <w:rPr>
                      <w:b/>
                      <w:bCs/>
                      <w:sz w:val="20"/>
                      <w:szCs w:val="20"/>
                    </w:rPr>
                    <w:t>3.7a</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B2E5706" w14:textId="266DDC8E" w:rsidR="0045087B" w:rsidRPr="00BF7956" w:rsidRDefault="0045087B" w:rsidP="0045087B">
                  <w:pPr>
                    <w:pStyle w:val="CM4"/>
                    <w:framePr w:hSpace="180" w:wrap="around" w:vAnchor="text" w:hAnchor="margin" w:y="137"/>
                    <w:spacing w:before="60" w:after="60"/>
                    <w:rPr>
                      <w:i/>
                      <w:iCs/>
                      <w:color w:val="000000"/>
                      <w:sz w:val="20"/>
                      <w:szCs w:val="20"/>
                    </w:rPr>
                  </w:pPr>
                  <w:r w:rsidRPr="00BF7956">
                    <w:rPr>
                      <w:b/>
                      <w:bCs/>
                      <w:sz w:val="20"/>
                      <w:szCs w:val="20"/>
                    </w:rPr>
                    <w:t>Emisiuni proprii eligibile pentru băncile centrale</w:t>
                  </w:r>
                </w:p>
              </w:tc>
            </w:tr>
          </w:tbl>
          <w:p w14:paraId="6A9EF498" w14:textId="77777777" w:rsidR="0045087B" w:rsidRPr="00BF7956" w:rsidRDefault="0045087B" w:rsidP="008E3BA7">
            <w:pPr>
              <w:pStyle w:val="CM4"/>
              <w:spacing w:before="60" w:after="60"/>
              <w:rPr>
                <w:sz w:val="20"/>
                <w:szCs w:val="20"/>
                <w:lang w:val="en-US"/>
              </w:rPr>
            </w:pPr>
          </w:p>
        </w:tc>
        <w:tc>
          <w:tcPr>
            <w:tcW w:w="1418" w:type="dxa"/>
          </w:tcPr>
          <w:p w14:paraId="6F1A607B" w14:textId="5A549E1E" w:rsidR="0045087B" w:rsidRPr="00BF7956" w:rsidRDefault="005D07E6" w:rsidP="008E3BA7">
            <w:pPr>
              <w:rPr>
                <w:bCs/>
                <w:sz w:val="20"/>
                <w:szCs w:val="20"/>
                <w:lang w:val="ro-RO"/>
              </w:rPr>
            </w:pPr>
            <w:r w:rsidRPr="00BF7956">
              <w:rPr>
                <w:bCs/>
                <w:sz w:val="20"/>
                <w:szCs w:val="20"/>
                <w:lang w:val="ro-RO"/>
              </w:rPr>
              <w:t>Compatibil</w:t>
            </w:r>
          </w:p>
        </w:tc>
        <w:tc>
          <w:tcPr>
            <w:tcW w:w="2223" w:type="dxa"/>
          </w:tcPr>
          <w:p w14:paraId="61F432C9" w14:textId="77777777" w:rsidR="0045087B" w:rsidRPr="00BF7956" w:rsidRDefault="0045087B" w:rsidP="008E3BA7">
            <w:pPr>
              <w:jc w:val="both"/>
              <w:rPr>
                <w:sz w:val="20"/>
                <w:szCs w:val="20"/>
                <w:lang w:val="ro-RO"/>
              </w:rPr>
            </w:pPr>
          </w:p>
        </w:tc>
        <w:tc>
          <w:tcPr>
            <w:tcW w:w="1134" w:type="dxa"/>
            <w:tcBorders>
              <w:top w:val="single" w:sz="4" w:space="0" w:color="auto"/>
              <w:bottom w:val="single" w:sz="4" w:space="0" w:color="auto"/>
            </w:tcBorders>
          </w:tcPr>
          <w:p w14:paraId="704D3CA2" w14:textId="77777777" w:rsidR="0045087B" w:rsidRPr="00BF7956" w:rsidRDefault="0045087B" w:rsidP="008E3BA7">
            <w:pPr>
              <w:jc w:val="both"/>
              <w:rPr>
                <w:sz w:val="20"/>
                <w:szCs w:val="20"/>
                <w:lang w:val="ro-RO"/>
              </w:rPr>
            </w:pPr>
          </w:p>
        </w:tc>
        <w:tc>
          <w:tcPr>
            <w:tcW w:w="992" w:type="dxa"/>
          </w:tcPr>
          <w:p w14:paraId="5E1BF71B" w14:textId="77777777" w:rsidR="0045087B" w:rsidRPr="00BF7956" w:rsidRDefault="0045087B" w:rsidP="008E3BA7">
            <w:pPr>
              <w:jc w:val="both"/>
              <w:rPr>
                <w:sz w:val="20"/>
                <w:szCs w:val="20"/>
                <w:lang w:val="ro-RO"/>
              </w:rPr>
            </w:pPr>
          </w:p>
        </w:tc>
      </w:tr>
      <w:tr w:rsidR="008E3BA7" w:rsidRPr="00BF7956" w14:paraId="0CD463D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7D4E51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2B9B9E0" w14:textId="766EEC8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A1CA9CD" w14:textId="489748E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8AB1F19" w14:textId="1C3632F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Facilități de credit angajate neutilizate primite</w:t>
                  </w:r>
                </w:p>
              </w:tc>
            </w:tr>
          </w:tbl>
          <w:p w14:paraId="6D9BBE9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CC8FBA4"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D5BD52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70D03C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9577FA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Facilități de credit angajate neutilizate primite</w:t>
                  </w:r>
                </w:p>
              </w:tc>
            </w:tr>
          </w:tbl>
          <w:p w14:paraId="0AECBBB2" w14:textId="77777777" w:rsidR="008E3BA7" w:rsidRPr="00BF7956" w:rsidRDefault="008E3BA7" w:rsidP="008E3BA7">
            <w:pPr>
              <w:pStyle w:val="CM4"/>
              <w:spacing w:before="60" w:after="60"/>
              <w:rPr>
                <w:sz w:val="20"/>
                <w:szCs w:val="20"/>
                <w:lang w:val="it-IT"/>
              </w:rPr>
            </w:pPr>
          </w:p>
        </w:tc>
        <w:tc>
          <w:tcPr>
            <w:tcW w:w="1418" w:type="dxa"/>
          </w:tcPr>
          <w:p w14:paraId="36E95EBA" w14:textId="3D8FA51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1E3CED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B834D67" w14:textId="77777777" w:rsidR="008E3BA7" w:rsidRPr="00BF7956" w:rsidRDefault="008E3BA7" w:rsidP="008E3BA7">
            <w:pPr>
              <w:jc w:val="both"/>
              <w:rPr>
                <w:sz w:val="20"/>
                <w:szCs w:val="20"/>
                <w:lang w:val="ro-RO"/>
              </w:rPr>
            </w:pPr>
          </w:p>
        </w:tc>
        <w:tc>
          <w:tcPr>
            <w:tcW w:w="992" w:type="dxa"/>
          </w:tcPr>
          <w:p w14:paraId="473D117B" w14:textId="77777777" w:rsidR="008E3BA7" w:rsidRPr="00BF7956" w:rsidRDefault="008E3BA7" w:rsidP="008E3BA7">
            <w:pPr>
              <w:jc w:val="both"/>
              <w:rPr>
                <w:sz w:val="20"/>
                <w:szCs w:val="20"/>
                <w:lang w:val="ro-RO"/>
              </w:rPr>
            </w:pPr>
          </w:p>
        </w:tc>
      </w:tr>
      <w:tr w:rsidR="008E3BA7" w:rsidRPr="00BF7956" w14:paraId="3FD6807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5BE716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D646EA2" w14:textId="291640D4"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0F4EBD4" w14:textId="074203B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F081FF3" w14:textId="4776744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de nivel 1</w:t>
                  </w:r>
                </w:p>
              </w:tc>
            </w:tr>
          </w:tbl>
          <w:p w14:paraId="4B2515A1"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2F81BE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DBFAF9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DC0702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A9B4D7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de nivel 1</w:t>
                  </w:r>
                </w:p>
              </w:tc>
            </w:tr>
          </w:tbl>
          <w:p w14:paraId="68BB96C1" w14:textId="77777777" w:rsidR="008E3BA7" w:rsidRPr="00BF7956" w:rsidRDefault="008E3BA7" w:rsidP="008E3BA7">
            <w:pPr>
              <w:pStyle w:val="CM4"/>
              <w:spacing w:before="60" w:after="60"/>
              <w:rPr>
                <w:sz w:val="20"/>
                <w:szCs w:val="20"/>
              </w:rPr>
            </w:pPr>
          </w:p>
        </w:tc>
        <w:tc>
          <w:tcPr>
            <w:tcW w:w="1418" w:type="dxa"/>
          </w:tcPr>
          <w:p w14:paraId="7F935F13" w14:textId="4ABC513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3B34A7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03DC7E0" w14:textId="77777777" w:rsidR="008E3BA7" w:rsidRPr="00BF7956" w:rsidRDefault="008E3BA7" w:rsidP="008E3BA7">
            <w:pPr>
              <w:jc w:val="both"/>
              <w:rPr>
                <w:sz w:val="20"/>
                <w:szCs w:val="20"/>
                <w:lang w:val="ro-RO"/>
              </w:rPr>
            </w:pPr>
          </w:p>
        </w:tc>
        <w:tc>
          <w:tcPr>
            <w:tcW w:w="992" w:type="dxa"/>
          </w:tcPr>
          <w:p w14:paraId="7D2998C4" w14:textId="77777777" w:rsidR="008E3BA7" w:rsidRPr="00BF7956" w:rsidRDefault="008E3BA7" w:rsidP="008E3BA7">
            <w:pPr>
              <w:jc w:val="both"/>
              <w:rPr>
                <w:sz w:val="20"/>
                <w:szCs w:val="20"/>
                <w:lang w:val="ro-RO"/>
              </w:rPr>
            </w:pPr>
          </w:p>
        </w:tc>
      </w:tr>
      <w:tr w:rsidR="008E3BA7" w:rsidRPr="002C43F1" w14:paraId="29FB774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9C9B72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610C113" w14:textId="2707009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BCBD523" w14:textId="79E7F12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5BC7463" w14:textId="06AF92E8"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cu utilizare restrânsă de nivel 2B</w:t>
                  </w:r>
                </w:p>
              </w:tc>
            </w:tr>
          </w:tbl>
          <w:p w14:paraId="63CF036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C2B14A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6EC3FA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051851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26A898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cu utilizare restrânsă de nivel 2B</w:t>
                  </w:r>
                </w:p>
              </w:tc>
            </w:tr>
          </w:tbl>
          <w:p w14:paraId="17C32C5D" w14:textId="77777777" w:rsidR="008E3BA7" w:rsidRPr="00BF7956" w:rsidRDefault="008E3BA7" w:rsidP="008E3BA7">
            <w:pPr>
              <w:pStyle w:val="CM4"/>
              <w:spacing w:before="60" w:after="60"/>
              <w:rPr>
                <w:sz w:val="20"/>
                <w:szCs w:val="20"/>
                <w:lang w:val="it-IT"/>
              </w:rPr>
            </w:pPr>
          </w:p>
        </w:tc>
        <w:tc>
          <w:tcPr>
            <w:tcW w:w="1418" w:type="dxa"/>
          </w:tcPr>
          <w:p w14:paraId="3589B55E" w14:textId="54EA4789" w:rsidR="008E3BA7" w:rsidRPr="00BF7956" w:rsidRDefault="008E3BA7" w:rsidP="008E3BA7">
            <w:pPr>
              <w:rPr>
                <w:b/>
                <w:strike/>
                <w:sz w:val="20"/>
                <w:szCs w:val="20"/>
                <w:lang w:val="ro-RO"/>
              </w:rPr>
            </w:pPr>
            <w:r w:rsidRPr="00BF7956">
              <w:rPr>
                <w:sz w:val="20"/>
                <w:szCs w:val="20"/>
              </w:rPr>
              <w:t>Necompatibil</w:t>
            </w:r>
          </w:p>
        </w:tc>
        <w:tc>
          <w:tcPr>
            <w:tcW w:w="2223" w:type="dxa"/>
          </w:tcPr>
          <w:p w14:paraId="7EFF98DB" w14:textId="76E80836" w:rsidR="008E3BA7" w:rsidRPr="00BF7956" w:rsidRDefault="008E3BA7" w:rsidP="008E3BA7">
            <w:pPr>
              <w:rPr>
                <w:sz w:val="20"/>
                <w:szCs w:val="20"/>
                <w:lang w:val="ro-RO"/>
              </w:rPr>
            </w:pPr>
            <w:r w:rsidRPr="00BF7956">
              <w:rPr>
                <w:sz w:val="20"/>
                <w:szCs w:val="20"/>
                <w:lang w:val="it-IT"/>
              </w:rPr>
              <w:t>Prevederile aferente  facilităţilor de lichiditate angajate cu utilizare restrânsă nu au fost transpuse, deoarece  cadrul normativ al Republicii Moldova nu le reglementează.</w:t>
            </w:r>
          </w:p>
        </w:tc>
        <w:tc>
          <w:tcPr>
            <w:tcW w:w="1134" w:type="dxa"/>
            <w:tcBorders>
              <w:top w:val="single" w:sz="4" w:space="0" w:color="auto"/>
              <w:bottom w:val="single" w:sz="4" w:space="0" w:color="auto"/>
            </w:tcBorders>
          </w:tcPr>
          <w:p w14:paraId="2E98153A" w14:textId="77777777" w:rsidR="008E3BA7" w:rsidRPr="00BF7956" w:rsidRDefault="008E3BA7" w:rsidP="008E3BA7">
            <w:pPr>
              <w:jc w:val="both"/>
              <w:rPr>
                <w:sz w:val="20"/>
                <w:szCs w:val="20"/>
                <w:lang w:val="ro-RO"/>
              </w:rPr>
            </w:pPr>
          </w:p>
        </w:tc>
        <w:tc>
          <w:tcPr>
            <w:tcW w:w="992" w:type="dxa"/>
          </w:tcPr>
          <w:p w14:paraId="1B731BBA" w14:textId="77777777" w:rsidR="008E3BA7" w:rsidRPr="00BF7956" w:rsidRDefault="008E3BA7" w:rsidP="008E3BA7">
            <w:pPr>
              <w:jc w:val="both"/>
              <w:rPr>
                <w:sz w:val="20"/>
                <w:szCs w:val="20"/>
                <w:lang w:val="ro-RO"/>
              </w:rPr>
            </w:pPr>
          </w:p>
        </w:tc>
      </w:tr>
      <w:tr w:rsidR="008E3BA7" w:rsidRPr="002C43F1" w14:paraId="057D9FCA"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F10BCE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A8548E8" w14:textId="14AE288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64AED63" w14:textId="0ECB2711"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381A12A" w14:textId="68F3F0B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IPS de nivel 2B</w:t>
                  </w:r>
                </w:p>
              </w:tc>
            </w:tr>
          </w:tbl>
          <w:p w14:paraId="0F07E5C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564471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E24A81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F5097C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1DA791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IPS de nivel 2B</w:t>
                  </w:r>
                </w:p>
              </w:tc>
            </w:tr>
          </w:tbl>
          <w:p w14:paraId="3D077A8F" w14:textId="77777777" w:rsidR="008E3BA7" w:rsidRPr="00BF7956" w:rsidRDefault="008E3BA7" w:rsidP="008E3BA7">
            <w:pPr>
              <w:pStyle w:val="CM4"/>
              <w:spacing w:before="60" w:after="60"/>
              <w:rPr>
                <w:sz w:val="20"/>
                <w:szCs w:val="20"/>
                <w:lang w:val="en-US"/>
              </w:rPr>
            </w:pPr>
          </w:p>
        </w:tc>
        <w:tc>
          <w:tcPr>
            <w:tcW w:w="1418" w:type="dxa"/>
          </w:tcPr>
          <w:p w14:paraId="62F5834F" w14:textId="09710708" w:rsidR="008E3BA7" w:rsidRPr="00BF7956" w:rsidRDefault="008E3BA7" w:rsidP="008E3BA7">
            <w:pPr>
              <w:rPr>
                <w:b/>
                <w:strike/>
                <w:sz w:val="20"/>
                <w:szCs w:val="20"/>
                <w:lang w:val="ro-RO"/>
              </w:rPr>
            </w:pPr>
            <w:r w:rsidRPr="00BF7956">
              <w:rPr>
                <w:sz w:val="20"/>
                <w:szCs w:val="20"/>
              </w:rPr>
              <w:t>Necompatibil</w:t>
            </w:r>
          </w:p>
        </w:tc>
        <w:tc>
          <w:tcPr>
            <w:tcW w:w="2223" w:type="dxa"/>
          </w:tcPr>
          <w:p w14:paraId="7FBB52D9" w14:textId="0FC1429C" w:rsidR="008E3BA7" w:rsidRPr="00BF7956" w:rsidRDefault="008E3BA7" w:rsidP="008E3BA7">
            <w:pPr>
              <w:rPr>
                <w:sz w:val="20"/>
                <w:szCs w:val="20"/>
                <w:lang w:val="ro-RO"/>
              </w:rPr>
            </w:pPr>
            <w:r w:rsidRPr="00BF7956">
              <w:rPr>
                <w:sz w:val="20"/>
                <w:szCs w:val="20"/>
                <w:lang w:val="it-IT"/>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50665747" w14:textId="77777777" w:rsidR="008E3BA7" w:rsidRPr="00BF7956" w:rsidRDefault="008E3BA7" w:rsidP="008E3BA7">
            <w:pPr>
              <w:jc w:val="both"/>
              <w:rPr>
                <w:sz w:val="20"/>
                <w:szCs w:val="20"/>
                <w:lang w:val="ro-RO"/>
              </w:rPr>
            </w:pPr>
          </w:p>
        </w:tc>
        <w:tc>
          <w:tcPr>
            <w:tcW w:w="992" w:type="dxa"/>
          </w:tcPr>
          <w:p w14:paraId="012F0FCB" w14:textId="77777777" w:rsidR="008E3BA7" w:rsidRPr="00BF7956" w:rsidRDefault="008E3BA7" w:rsidP="008E3BA7">
            <w:pPr>
              <w:jc w:val="both"/>
              <w:rPr>
                <w:sz w:val="20"/>
                <w:szCs w:val="20"/>
                <w:lang w:val="ro-RO"/>
              </w:rPr>
            </w:pPr>
          </w:p>
        </w:tc>
      </w:tr>
      <w:tr w:rsidR="008E3BA7" w:rsidRPr="00BF7956" w14:paraId="16BA2E4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AADE23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02C7C75" w14:textId="7FE62C2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lastRenderedPageBreak/>
                    <w:t>1040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5AF5C5C" w14:textId="682FF52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37716AE" w14:textId="5B4A6C9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facilități</w:t>
                  </w:r>
                </w:p>
              </w:tc>
            </w:tr>
          </w:tbl>
          <w:p w14:paraId="698C6079"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7C0B76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014CBA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8D6AC8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EA47F9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 facilități</w:t>
                  </w:r>
                </w:p>
              </w:tc>
            </w:tr>
          </w:tbl>
          <w:p w14:paraId="495DF832" w14:textId="77777777" w:rsidR="008E3BA7" w:rsidRPr="00BF7956" w:rsidRDefault="008E3BA7" w:rsidP="008E3BA7">
            <w:pPr>
              <w:pStyle w:val="CM4"/>
              <w:spacing w:before="60" w:after="60"/>
              <w:rPr>
                <w:sz w:val="20"/>
                <w:szCs w:val="20"/>
              </w:rPr>
            </w:pPr>
          </w:p>
        </w:tc>
        <w:tc>
          <w:tcPr>
            <w:tcW w:w="1418" w:type="dxa"/>
          </w:tcPr>
          <w:p w14:paraId="350761C5" w14:textId="3A4B0B1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73E809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3D8A36F" w14:textId="77777777" w:rsidR="008E3BA7" w:rsidRPr="00BF7956" w:rsidRDefault="008E3BA7" w:rsidP="008E3BA7">
            <w:pPr>
              <w:jc w:val="both"/>
              <w:rPr>
                <w:sz w:val="20"/>
                <w:szCs w:val="20"/>
                <w:lang w:val="ro-RO"/>
              </w:rPr>
            </w:pPr>
          </w:p>
        </w:tc>
        <w:tc>
          <w:tcPr>
            <w:tcW w:w="992" w:type="dxa"/>
          </w:tcPr>
          <w:p w14:paraId="1902AD2C" w14:textId="77777777" w:rsidR="008E3BA7" w:rsidRPr="00BF7956" w:rsidRDefault="008E3BA7" w:rsidP="008E3BA7">
            <w:pPr>
              <w:jc w:val="both"/>
              <w:rPr>
                <w:sz w:val="20"/>
                <w:szCs w:val="20"/>
                <w:lang w:val="ro-RO"/>
              </w:rPr>
            </w:pPr>
          </w:p>
        </w:tc>
      </w:tr>
      <w:tr w:rsidR="008E3BA7" w:rsidRPr="002C43F1" w14:paraId="26A8878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3E309A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BCBF2A7" w14:textId="7EEEA65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A28E3FC" w14:textId="7E3CDEB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3.8.4.1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DBF0300" w14:textId="1D5CB656"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 la contrapărți din același grup</w:t>
                  </w:r>
                </w:p>
              </w:tc>
            </w:tr>
          </w:tbl>
          <w:p w14:paraId="189FC48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E22CF5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BB75E1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1050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4A1499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3.8.4.1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A90C00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 la contrapărți din același grup</w:t>
                  </w:r>
                </w:p>
              </w:tc>
            </w:tr>
          </w:tbl>
          <w:p w14:paraId="4443C8C9" w14:textId="77777777" w:rsidR="008E3BA7" w:rsidRPr="00BF7956" w:rsidRDefault="008E3BA7" w:rsidP="008E3BA7">
            <w:pPr>
              <w:pStyle w:val="CM4"/>
              <w:spacing w:before="60" w:after="60"/>
              <w:rPr>
                <w:sz w:val="20"/>
                <w:szCs w:val="20"/>
              </w:rPr>
            </w:pPr>
          </w:p>
        </w:tc>
        <w:tc>
          <w:tcPr>
            <w:tcW w:w="1418" w:type="dxa"/>
          </w:tcPr>
          <w:p w14:paraId="777A9B03" w14:textId="13DD9C9C" w:rsidR="008E3BA7" w:rsidRPr="00BF7956" w:rsidRDefault="008E3BA7" w:rsidP="008E3BA7">
            <w:pPr>
              <w:rPr>
                <w:b/>
                <w:strike/>
                <w:sz w:val="20"/>
                <w:szCs w:val="20"/>
                <w:lang w:val="ro-RO"/>
              </w:rPr>
            </w:pPr>
            <w:r w:rsidRPr="00BF7956">
              <w:rPr>
                <w:sz w:val="20"/>
                <w:szCs w:val="20"/>
                <w:lang w:val="en-US"/>
              </w:rPr>
              <w:t>Par</w:t>
            </w:r>
            <w:r w:rsidRPr="00BF7956">
              <w:rPr>
                <w:sz w:val="20"/>
                <w:szCs w:val="20"/>
                <w:lang w:val="ro-MD"/>
              </w:rPr>
              <w:t>țial compatibil</w:t>
            </w:r>
          </w:p>
        </w:tc>
        <w:tc>
          <w:tcPr>
            <w:tcW w:w="2223" w:type="dxa"/>
          </w:tcPr>
          <w:p w14:paraId="3599B3AF" w14:textId="42BDEB07" w:rsidR="008E3BA7" w:rsidRPr="00BF7956" w:rsidRDefault="008E3BA7" w:rsidP="008E3BA7">
            <w:pPr>
              <w:rPr>
                <w:color w:val="000000"/>
                <w:sz w:val="20"/>
                <w:szCs w:val="20"/>
                <w:lang w:val="en-US"/>
              </w:rPr>
            </w:pPr>
            <w:r w:rsidRPr="00BF7956">
              <w:rPr>
                <w:color w:val="000000"/>
                <w:sz w:val="20"/>
                <w:szCs w:val="20"/>
                <w:lang w:val="en-US"/>
              </w:rPr>
              <w:t>Prevederile aferente sistemelor instituționale de protecție</w:t>
            </w:r>
            <w:proofErr w:type="gramStart"/>
            <w:r w:rsidRPr="00BF7956">
              <w:rPr>
                <w:color w:val="000000"/>
                <w:sz w:val="20"/>
                <w:szCs w:val="20"/>
                <w:lang w:val="en-US"/>
              </w:rPr>
              <w:t>,  reţelelor</w:t>
            </w:r>
            <w:proofErr w:type="gramEnd"/>
            <w:r w:rsidRPr="00BF7956">
              <w:rPr>
                <w:color w:val="000000"/>
                <w:sz w:val="20"/>
                <w:szCs w:val="20"/>
                <w:lang w:val="en-US"/>
              </w:rPr>
              <w:t xml:space="preserve"> / grupului cooperatist nu sunt transpuse, deoarece aceste sisteme /rețele /grupuri nu sunt reglementate în Republicii Moldova.</w:t>
            </w:r>
          </w:p>
        </w:tc>
        <w:tc>
          <w:tcPr>
            <w:tcW w:w="1134" w:type="dxa"/>
            <w:tcBorders>
              <w:top w:val="single" w:sz="4" w:space="0" w:color="auto"/>
              <w:bottom w:val="single" w:sz="4" w:space="0" w:color="auto"/>
            </w:tcBorders>
          </w:tcPr>
          <w:p w14:paraId="648F0222" w14:textId="77777777" w:rsidR="008E3BA7" w:rsidRPr="00BF7956" w:rsidRDefault="008E3BA7" w:rsidP="008E3BA7">
            <w:pPr>
              <w:jc w:val="both"/>
              <w:rPr>
                <w:sz w:val="20"/>
                <w:szCs w:val="20"/>
                <w:lang w:val="ro-RO"/>
              </w:rPr>
            </w:pPr>
          </w:p>
        </w:tc>
        <w:tc>
          <w:tcPr>
            <w:tcW w:w="992" w:type="dxa"/>
          </w:tcPr>
          <w:p w14:paraId="5D51D014" w14:textId="77777777" w:rsidR="008E3BA7" w:rsidRPr="00BF7956" w:rsidRDefault="008E3BA7" w:rsidP="008E3BA7">
            <w:pPr>
              <w:jc w:val="both"/>
              <w:rPr>
                <w:sz w:val="20"/>
                <w:szCs w:val="20"/>
                <w:lang w:val="ro-RO"/>
              </w:rPr>
            </w:pPr>
          </w:p>
        </w:tc>
      </w:tr>
      <w:tr w:rsidR="008E3BA7" w:rsidRPr="00BF7956" w14:paraId="0FE4027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BD7E65D" w14:textId="77777777" w:rsidTr="000E5FE3">
              <w:trPr>
                <w:trHeight w:val="366"/>
              </w:trPr>
              <w:tc>
                <w:tcPr>
                  <w:tcW w:w="712" w:type="dxa"/>
                  <w:tcBorders>
                    <w:top w:val="outset" w:sz="6" w:space="0" w:color="auto"/>
                    <w:left w:val="outset" w:sz="6" w:space="0" w:color="auto"/>
                    <w:bottom w:val="outset" w:sz="6" w:space="0" w:color="auto"/>
                    <w:right w:val="outset" w:sz="6" w:space="0" w:color="auto"/>
                  </w:tcBorders>
                  <w:shd w:val="clear" w:color="auto" w:fill="auto"/>
                </w:tcPr>
                <w:p w14:paraId="37F5AEF9" w14:textId="734E71B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7464A7D" w14:textId="5C7771F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3.8.4.2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EA49AEB" w14:textId="2A09AE6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 la alte contrapărți</w:t>
                  </w:r>
                </w:p>
              </w:tc>
            </w:tr>
          </w:tbl>
          <w:p w14:paraId="6E7AD30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37785478" w14:textId="77777777" w:rsidTr="00E05820">
              <w:trPr>
                <w:trHeight w:val="366"/>
              </w:trPr>
              <w:tc>
                <w:tcPr>
                  <w:tcW w:w="712" w:type="dxa"/>
                  <w:tcBorders>
                    <w:top w:val="outset" w:sz="6" w:space="0" w:color="auto"/>
                    <w:left w:val="outset" w:sz="6" w:space="0" w:color="auto"/>
                    <w:bottom w:val="outset" w:sz="6" w:space="0" w:color="auto"/>
                    <w:right w:val="outset" w:sz="6" w:space="0" w:color="auto"/>
                  </w:tcBorders>
                  <w:shd w:val="clear" w:color="auto" w:fill="auto"/>
                </w:tcPr>
                <w:p w14:paraId="16A765B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1060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EF5ABC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3.8.4.2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1CC58D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de la alte contrapărți</w:t>
                  </w:r>
                </w:p>
              </w:tc>
            </w:tr>
          </w:tbl>
          <w:p w14:paraId="78FFB2B9" w14:textId="77777777" w:rsidR="008E3BA7" w:rsidRPr="00BF7956" w:rsidRDefault="008E3BA7" w:rsidP="008E3BA7">
            <w:pPr>
              <w:pStyle w:val="CM4"/>
              <w:spacing w:before="60" w:after="60"/>
              <w:rPr>
                <w:sz w:val="20"/>
                <w:szCs w:val="20"/>
              </w:rPr>
            </w:pPr>
          </w:p>
        </w:tc>
        <w:tc>
          <w:tcPr>
            <w:tcW w:w="1418" w:type="dxa"/>
          </w:tcPr>
          <w:p w14:paraId="0478601E" w14:textId="321A54A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90C0A9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DFECBFE" w14:textId="77777777" w:rsidR="008E3BA7" w:rsidRPr="00BF7956" w:rsidRDefault="008E3BA7" w:rsidP="008E3BA7">
            <w:pPr>
              <w:jc w:val="both"/>
              <w:rPr>
                <w:sz w:val="20"/>
                <w:szCs w:val="20"/>
                <w:lang w:val="ro-RO"/>
              </w:rPr>
            </w:pPr>
          </w:p>
        </w:tc>
        <w:tc>
          <w:tcPr>
            <w:tcW w:w="992" w:type="dxa"/>
          </w:tcPr>
          <w:p w14:paraId="32E4D59F" w14:textId="77777777" w:rsidR="008E3BA7" w:rsidRPr="00BF7956" w:rsidRDefault="008E3BA7" w:rsidP="008E3BA7">
            <w:pPr>
              <w:jc w:val="both"/>
              <w:rPr>
                <w:sz w:val="20"/>
                <w:szCs w:val="20"/>
                <w:lang w:val="ro-RO"/>
              </w:rPr>
            </w:pPr>
          </w:p>
        </w:tc>
      </w:tr>
      <w:tr w:rsidR="008E3BA7" w:rsidRPr="00BF7956" w14:paraId="31E47288"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1ED5C2B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4AD5215" w14:textId="33B6E34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832B05F" w14:textId="1AADA7B4"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3.9</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BA4DD98" w14:textId="1E1E562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Variația netă a capacității de compensare</w:t>
                  </w:r>
                </w:p>
              </w:tc>
            </w:tr>
          </w:tbl>
          <w:p w14:paraId="5ED846AF"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0D89F4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44D7D3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BCA285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3.9</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57B28C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Variația netă a capacității de compensare</w:t>
                  </w:r>
                </w:p>
              </w:tc>
            </w:tr>
          </w:tbl>
          <w:p w14:paraId="2A1C969F" w14:textId="77777777" w:rsidR="008E3BA7" w:rsidRPr="00BF7956" w:rsidRDefault="008E3BA7" w:rsidP="008E3BA7">
            <w:pPr>
              <w:pStyle w:val="CM4"/>
              <w:spacing w:before="60" w:after="60"/>
              <w:rPr>
                <w:sz w:val="20"/>
                <w:szCs w:val="20"/>
                <w:lang w:val="it-IT"/>
              </w:rPr>
            </w:pPr>
          </w:p>
        </w:tc>
        <w:tc>
          <w:tcPr>
            <w:tcW w:w="1418" w:type="dxa"/>
          </w:tcPr>
          <w:p w14:paraId="25CB0C95" w14:textId="2CCCDC9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9AE7A2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5913C0E" w14:textId="77777777" w:rsidR="008E3BA7" w:rsidRPr="00BF7956" w:rsidRDefault="008E3BA7" w:rsidP="008E3BA7">
            <w:pPr>
              <w:jc w:val="both"/>
              <w:rPr>
                <w:sz w:val="20"/>
                <w:szCs w:val="20"/>
                <w:lang w:val="ro-RO"/>
              </w:rPr>
            </w:pPr>
          </w:p>
        </w:tc>
        <w:tc>
          <w:tcPr>
            <w:tcW w:w="992" w:type="dxa"/>
          </w:tcPr>
          <w:p w14:paraId="1FB9B1BD" w14:textId="77777777" w:rsidR="008E3BA7" w:rsidRPr="00BF7956" w:rsidRDefault="008E3BA7" w:rsidP="008E3BA7">
            <w:pPr>
              <w:jc w:val="both"/>
              <w:rPr>
                <w:sz w:val="20"/>
                <w:szCs w:val="20"/>
                <w:lang w:val="ro-RO"/>
              </w:rPr>
            </w:pPr>
          </w:p>
        </w:tc>
      </w:tr>
      <w:tr w:rsidR="008E3BA7" w:rsidRPr="00BF7956" w14:paraId="36527BE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7AAC13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99BF705" w14:textId="2FD8A319"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F603D0E" w14:textId="03509844"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3.10</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A130B70" w14:textId="5B8DB8F1"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Capacitatea de compensare cumulată</w:t>
                  </w:r>
                </w:p>
              </w:tc>
            </w:tr>
          </w:tbl>
          <w:p w14:paraId="1C20AAA4"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811153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EAC3A4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0453AD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3.10</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AEF440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Capacitatea de compensare cumulată</w:t>
                  </w:r>
                </w:p>
              </w:tc>
            </w:tr>
          </w:tbl>
          <w:p w14:paraId="2C3F0682" w14:textId="77777777" w:rsidR="008E3BA7" w:rsidRPr="00BF7956" w:rsidRDefault="008E3BA7" w:rsidP="008E3BA7">
            <w:pPr>
              <w:pStyle w:val="CM4"/>
              <w:spacing w:before="60" w:after="60"/>
              <w:rPr>
                <w:sz w:val="20"/>
                <w:szCs w:val="20"/>
              </w:rPr>
            </w:pPr>
          </w:p>
        </w:tc>
        <w:tc>
          <w:tcPr>
            <w:tcW w:w="1418" w:type="dxa"/>
          </w:tcPr>
          <w:p w14:paraId="08E97429" w14:textId="4A376D5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F19EE9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0E2B1FB" w14:textId="77777777" w:rsidR="008E3BA7" w:rsidRPr="00BF7956" w:rsidRDefault="008E3BA7" w:rsidP="008E3BA7">
            <w:pPr>
              <w:jc w:val="both"/>
              <w:rPr>
                <w:sz w:val="20"/>
                <w:szCs w:val="20"/>
                <w:lang w:val="ro-RO"/>
              </w:rPr>
            </w:pPr>
          </w:p>
        </w:tc>
        <w:tc>
          <w:tcPr>
            <w:tcW w:w="992" w:type="dxa"/>
          </w:tcPr>
          <w:p w14:paraId="33D2BABC" w14:textId="77777777" w:rsidR="008E3BA7" w:rsidRPr="00BF7956" w:rsidRDefault="008E3BA7" w:rsidP="008E3BA7">
            <w:pPr>
              <w:jc w:val="both"/>
              <w:rPr>
                <w:sz w:val="20"/>
                <w:szCs w:val="20"/>
                <w:lang w:val="ro-RO"/>
              </w:rPr>
            </w:pPr>
          </w:p>
        </w:tc>
      </w:tr>
      <w:tr w:rsidR="008E3BA7" w:rsidRPr="00BF7956" w14:paraId="6194E06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780CA5C2"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CC37302" w14:textId="5F5B5174"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1090-11</w:t>
                  </w:r>
                  <w:r w:rsidR="0045087B" w:rsidRPr="00BF7956">
                    <w:rPr>
                      <w:b/>
                      <w:bCs/>
                      <w:sz w:val="20"/>
                      <w:szCs w:val="20"/>
                    </w:rPr>
                    <w:t>4</w:t>
                  </w:r>
                  <w:r w:rsidRPr="00BF7956">
                    <w:rPr>
                      <w:b/>
                      <w:bCs/>
                      <w:sz w:val="20"/>
                      <w:szCs w:val="20"/>
                    </w:rPr>
                    <w:t>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12002B3" w14:textId="04941D26"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41440F3" w14:textId="429199A5"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CONTINGENȚE</w:t>
                  </w:r>
                </w:p>
              </w:tc>
            </w:tr>
          </w:tbl>
          <w:p w14:paraId="1F078D3A"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96B7979"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3E98E9E7" w14:textId="0D74E8A1"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1090-11</w:t>
                  </w:r>
                  <w:r w:rsidR="0045087B" w:rsidRPr="00BF7956">
                    <w:rPr>
                      <w:b/>
                      <w:bCs/>
                      <w:sz w:val="20"/>
                      <w:szCs w:val="20"/>
                    </w:rPr>
                    <w:t>4</w:t>
                  </w:r>
                  <w:r w:rsidRPr="00BF7956">
                    <w:rPr>
                      <w:b/>
                      <w:bCs/>
                      <w:sz w:val="20"/>
                      <w:szCs w:val="20"/>
                    </w:rPr>
                    <w:t>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B5215B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717DC4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CONTINGENȚE</w:t>
                  </w:r>
                </w:p>
              </w:tc>
            </w:tr>
          </w:tbl>
          <w:p w14:paraId="7FC1B5E5" w14:textId="77777777" w:rsidR="008E3BA7" w:rsidRPr="00BF7956" w:rsidRDefault="008E3BA7" w:rsidP="008E3BA7">
            <w:pPr>
              <w:pStyle w:val="CM4"/>
              <w:spacing w:before="60" w:after="60"/>
              <w:rPr>
                <w:sz w:val="20"/>
                <w:szCs w:val="20"/>
              </w:rPr>
            </w:pPr>
          </w:p>
        </w:tc>
        <w:tc>
          <w:tcPr>
            <w:tcW w:w="1418" w:type="dxa"/>
          </w:tcPr>
          <w:p w14:paraId="456C0B80" w14:textId="4B6B60D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D020A5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253611B" w14:textId="77777777" w:rsidR="008E3BA7" w:rsidRPr="00BF7956" w:rsidRDefault="008E3BA7" w:rsidP="008E3BA7">
            <w:pPr>
              <w:jc w:val="both"/>
              <w:rPr>
                <w:sz w:val="20"/>
                <w:szCs w:val="20"/>
                <w:lang w:val="ro-RO"/>
              </w:rPr>
            </w:pPr>
          </w:p>
        </w:tc>
        <w:tc>
          <w:tcPr>
            <w:tcW w:w="992" w:type="dxa"/>
          </w:tcPr>
          <w:p w14:paraId="43C116CF" w14:textId="77777777" w:rsidR="008E3BA7" w:rsidRPr="00BF7956" w:rsidRDefault="008E3BA7" w:rsidP="008E3BA7">
            <w:pPr>
              <w:jc w:val="both"/>
              <w:rPr>
                <w:sz w:val="20"/>
                <w:szCs w:val="20"/>
                <w:lang w:val="ro-RO"/>
              </w:rPr>
            </w:pPr>
          </w:p>
        </w:tc>
      </w:tr>
      <w:tr w:rsidR="008E3BA7" w:rsidRPr="00BF7956" w14:paraId="545274F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CD463C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83FEA81" w14:textId="7248971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7142769" w14:textId="3040D672"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4.1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B38CB1A" w14:textId="4F9E9C12"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Ieșiri din facilități angajate</w:t>
                  </w:r>
                </w:p>
              </w:tc>
            </w:tr>
          </w:tbl>
          <w:p w14:paraId="196F447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FBE79B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7DD37B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1090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CB00DD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4.1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911177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Ieșiri din facilități angajate</w:t>
                  </w:r>
                </w:p>
              </w:tc>
            </w:tr>
          </w:tbl>
          <w:p w14:paraId="5CA31878" w14:textId="77777777" w:rsidR="008E3BA7" w:rsidRPr="00BF7956" w:rsidRDefault="008E3BA7" w:rsidP="008E3BA7">
            <w:pPr>
              <w:pStyle w:val="CM4"/>
              <w:spacing w:before="60" w:after="60"/>
              <w:rPr>
                <w:sz w:val="20"/>
                <w:szCs w:val="20"/>
              </w:rPr>
            </w:pPr>
          </w:p>
        </w:tc>
        <w:tc>
          <w:tcPr>
            <w:tcW w:w="1418" w:type="dxa"/>
          </w:tcPr>
          <w:p w14:paraId="77EEA21C" w14:textId="716E68E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8CE094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347B600" w14:textId="77777777" w:rsidR="008E3BA7" w:rsidRPr="00BF7956" w:rsidRDefault="008E3BA7" w:rsidP="008E3BA7">
            <w:pPr>
              <w:jc w:val="both"/>
              <w:rPr>
                <w:sz w:val="20"/>
                <w:szCs w:val="20"/>
                <w:lang w:val="ro-RO"/>
              </w:rPr>
            </w:pPr>
          </w:p>
        </w:tc>
        <w:tc>
          <w:tcPr>
            <w:tcW w:w="992" w:type="dxa"/>
          </w:tcPr>
          <w:p w14:paraId="611DEE79" w14:textId="77777777" w:rsidR="008E3BA7" w:rsidRPr="00BF7956" w:rsidRDefault="008E3BA7" w:rsidP="008E3BA7">
            <w:pPr>
              <w:jc w:val="both"/>
              <w:rPr>
                <w:sz w:val="20"/>
                <w:szCs w:val="20"/>
                <w:lang w:val="ro-RO"/>
              </w:rPr>
            </w:pPr>
          </w:p>
        </w:tc>
      </w:tr>
      <w:tr w:rsidR="0045087B" w:rsidRPr="002C43F1" w14:paraId="6407E81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45087B" w:rsidRPr="002C43F1" w14:paraId="69367F85"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412C2783" w14:textId="5E27FC62"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1091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5F4A8FA" w14:textId="761A76F8"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4.</w:t>
                  </w:r>
                  <w:r w:rsidR="00D60CE4" w:rsidRPr="00BF7956">
                    <w:rPr>
                      <w:sz w:val="20"/>
                      <w:szCs w:val="20"/>
                    </w:rPr>
                    <w:t>1</w:t>
                  </w:r>
                  <w:r w:rsidRPr="00BF7956">
                    <w:rPr>
                      <w:sz w:val="20"/>
                      <w:szCs w:val="20"/>
                    </w:rPr>
                    <w:t>.</w:t>
                  </w:r>
                  <w:r w:rsidR="00D60CE4" w:rsidRPr="00BF7956">
                    <w:rPr>
                      <w:sz w:val="20"/>
                      <w:szCs w:val="20"/>
                    </w:rPr>
                    <w:t>0.</w:t>
                  </w:r>
                  <w:r w:rsidRPr="00BF7956">
                    <w:rPr>
                      <w:sz w:val="20"/>
                      <w:szCs w:val="20"/>
                    </w:rPr>
                    <w:t>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603573D" w14:textId="77777777"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2DA4EED5" w14:textId="77777777" w:rsidR="0045087B" w:rsidRPr="00BF7956" w:rsidRDefault="0045087B" w:rsidP="0045087B">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45087B" w:rsidRPr="002C43F1" w14:paraId="1EFCB084"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5A021AF6" w14:textId="60099D16"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1091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DD1228B" w14:textId="34AB6226" w:rsidR="0045087B" w:rsidRPr="00BF7956" w:rsidRDefault="00D60CE4" w:rsidP="0045087B">
                  <w:pPr>
                    <w:pStyle w:val="CM4"/>
                    <w:framePr w:hSpace="180" w:wrap="around" w:vAnchor="text" w:hAnchor="margin" w:y="137"/>
                    <w:spacing w:before="60" w:after="60"/>
                    <w:rPr>
                      <w:i/>
                      <w:iCs/>
                      <w:color w:val="000000"/>
                      <w:sz w:val="20"/>
                      <w:szCs w:val="20"/>
                    </w:rPr>
                  </w:pPr>
                  <w:r w:rsidRPr="00BF7956">
                    <w:rPr>
                      <w:sz w:val="20"/>
                      <w:szCs w:val="20"/>
                    </w:rPr>
                    <w:t>4</w:t>
                  </w:r>
                  <w:r w:rsidR="0045087B" w:rsidRPr="00BF7956">
                    <w:rPr>
                      <w:sz w:val="20"/>
                      <w:szCs w:val="20"/>
                    </w:rPr>
                    <w:t>.1</w:t>
                  </w:r>
                  <w:r w:rsidRPr="00BF7956">
                    <w:rPr>
                      <w:sz w:val="20"/>
                      <w:szCs w:val="20"/>
                    </w:rPr>
                    <w:t>.0.1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B26EA6F" w14:textId="77777777" w:rsidR="0045087B" w:rsidRPr="00BF7956" w:rsidRDefault="0045087B" w:rsidP="0045087B">
                  <w:pPr>
                    <w:pStyle w:val="CM4"/>
                    <w:framePr w:hSpace="180" w:wrap="around" w:vAnchor="text" w:hAnchor="margin" w:y="137"/>
                    <w:spacing w:before="60" w:after="60"/>
                    <w:rPr>
                      <w:i/>
                      <w:iCs/>
                      <w:color w:val="000000"/>
                      <w:sz w:val="20"/>
                      <w:szCs w:val="20"/>
                    </w:rPr>
                  </w:pPr>
                  <w:r w:rsidRPr="00BF7956">
                    <w:rPr>
                      <w:sz w:val="20"/>
                      <w:szCs w:val="20"/>
                    </w:rPr>
                    <w:t>din care: Intragrup sau IPS</w:t>
                  </w:r>
                </w:p>
              </w:tc>
            </w:tr>
          </w:tbl>
          <w:p w14:paraId="2B6B34A0" w14:textId="77777777" w:rsidR="0045087B" w:rsidRPr="00BF7956" w:rsidRDefault="0045087B" w:rsidP="0045087B">
            <w:pPr>
              <w:pStyle w:val="CM4"/>
              <w:spacing w:before="60" w:after="60"/>
              <w:rPr>
                <w:sz w:val="20"/>
                <w:szCs w:val="20"/>
                <w:lang w:val="en-US"/>
              </w:rPr>
            </w:pPr>
          </w:p>
        </w:tc>
        <w:tc>
          <w:tcPr>
            <w:tcW w:w="1418" w:type="dxa"/>
          </w:tcPr>
          <w:p w14:paraId="4ACEB065" w14:textId="6A5565D6" w:rsidR="0045087B" w:rsidRPr="00BF7956" w:rsidRDefault="0045087B" w:rsidP="0045087B">
            <w:pPr>
              <w:rPr>
                <w:bCs/>
                <w:sz w:val="20"/>
                <w:szCs w:val="20"/>
                <w:lang w:val="ro-RO"/>
              </w:rPr>
            </w:pPr>
            <w:r w:rsidRPr="00BF7956">
              <w:rPr>
                <w:bCs/>
                <w:sz w:val="20"/>
                <w:szCs w:val="20"/>
                <w:lang w:val="ro-RO"/>
              </w:rPr>
              <w:t>Necompatibil</w:t>
            </w:r>
          </w:p>
        </w:tc>
        <w:tc>
          <w:tcPr>
            <w:tcW w:w="2223" w:type="dxa"/>
          </w:tcPr>
          <w:p w14:paraId="7651FD76" w14:textId="6930A712" w:rsidR="0045087B" w:rsidRPr="00BF7956" w:rsidRDefault="0045087B" w:rsidP="0045087B">
            <w:pPr>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427591DA" w14:textId="77777777" w:rsidR="0045087B" w:rsidRPr="00BF7956" w:rsidRDefault="0045087B" w:rsidP="0045087B">
            <w:pPr>
              <w:jc w:val="both"/>
              <w:rPr>
                <w:sz w:val="20"/>
                <w:szCs w:val="20"/>
                <w:lang w:val="ro-RO"/>
              </w:rPr>
            </w:pPr>
          </w:p>
        </w:tc>
        <w:tc>
          <w:tcPr>
            <w:tcW w:w="992" w:type="dxa"/>
          </w:tcPr>
          <w:p w14:paraId="336926F2" w14:textId="77777777" w:rsidR="0045087B" w:rsidRPr="00BF7956" w:rsidRDefault="0045087B" w:rsidP="0045087B">
            <w:pPr>
              <w:jc w:val="both"/>
              <w:rPr>
                <w:sz w:val="20"/>
                <w:szCs w:val="20"/>
                <w:lang w:val="ro-RO"/>
              </w:rPr>
            </w:pPr>
          </w:p>
        </w:tc>
      </w:tr>
      <w:tr w:rsidR="008E3BA7" w:rsidRPr="00BF7956" w14:paraId="3A43818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3D4F6A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B03F5FA" w14:textId="6E01FA4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2002BE6" w14:textId="2305708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BA0D33F" w14:textId="1644E37A"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de credit angajate</w:t>
                  </w:r>
                </w:p>
              </w:tc>
            </w:tr>
          </w:tbl>
          <w:p w14:paraId="358990D1"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50680B7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B645429"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1100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2FD5A5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C7FDDA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de credit angajate</w:t>
                  </w:r>
                </w:p>
              </w:tc>
            </w:tr>
          </w:tbl>
          <w:p w14:paraId="79856B0D" w14:textId="77777777" w:rsidR="008E3BA7" w:rsidRPr="00BF7956" w:rsidRDefault="008E3BA7" w:rsidP="008E3BA7">
            <w:pPr>
              <w:pStyle w:val="CM4"/>
              <w:spacing w:before="60" w:after="60"/>
              <w:rPr>
                <w:sz w:val="20"/>
                <w:szCs w:val="20"/>
              </w:rPr>
            </w:pPr>
          </w:p>
        </w:tc>
        <w:tc>
          <w:tcPr>
            <w:tcW w:w="1418" w:type="dxa"/>
          </w:tcPr>
          <w:p w14:paraId="0E68DCB8" w14:textId="7FEBF67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7E8303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18EC915" w14:textId="77777777" w:rsidR="008E3BA7" w:rsidRPr="00BF7956" w:rsidRDefault="008E3BA7" w:rsidP="008E3BA7">
            <w:pPr>
              <w:jc w:val="both"/>
              <w:rPr>
                <w:sz w:val="20"/>
                <w:szCs w:val="20"/>
                <w:lang w:val="ro-RO"/>
              </w:rPr>
            </w:pPr>
          </w:p>
        </w:tc>
        <w:tc>
          <w:tcPr>
            <w:tcW w:w="992" w:type="dxa"/>
          </w:tcPr>
          <w:p w14:paraId="6DC50451" w14:textId="77777777" w:rsidR="008E3BA7" w:rsidRPr="00BF7956" w:rsidRDefault="008E3BA7" w:rsidP="008E3BA7">
            <w:pPr>
              <w:jc w:val="both"/>
              <w:rPr>
                <w:sz w:val="20"/>
                <w:szCs w:val="20"/>
                <w:lang w:val="ro-RO"/>
              </w:rPr>
            </w:pPr>
          </w:p>
        </w:tc>
      </w:tr>
      <w:tr w:rsidR="008E3BA7" w:rsidRPr="002C43F1" w14:paraId="62DE2657"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5CAB322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C080CB5" w14:textId="13FD60A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BDC6EFF" w14:textId="4B3CFB6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29AEE0D" w14:textId="6965048C"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considerate ca fiind de nivel 2B de către beneficiar</w:t>
                  </w:r>
                </w:p>
              </w:tc>
            </w:tr>
          </w:tbl>
          <w:p w14:paraId="16C478C3"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B1902A8"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319EF8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1110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507CAB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4.1.1.1</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6F7CA4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considerate ca fiind de nivel 2B de către beneficiar</w:t>
                  </w:r>
                </w:p>
              </w:tc>
            </w:tr>
          </w:tbl>
          <w:p w14:paraId="0A599E78" w14:textId="77777777" w:rsidR="008E3BA7" w:rsidRPr="00BF7956" w:rsidRDefault="008E3BA7" w:rsidP="008E3BA7">
            <w:pPr>
              <w:pStyle w:val="CM4"/>
              <w:spacing w:before="60" w:after="60"/>
              <w:rPr>
                <w:sz w:val="20"/>
                <w:szCs w:val="20"/>
              </w:rPr>
            </w:pPr>
          </w:p>
        </w:tc>
        <w:tc>
          <w:tcPr>
            <w:tcW w:w="1418" w:type="dxa"/>
          </w:tcPr>
          <w:p w14:paraId="2B211BF7" w14:textId="698A8460" w:rsidR="008E3BA7" w:rsidRPr="00BF7956" w:rsidRDefault="008E3BA7" w:rsidP="008E3BA7">
            <w:pPr>
              <w:rPr>
                <w:b/>
                <w:strike/>
                <w:sz w:val="20"/>
                <w:szCs w:val="20"/>
                <w:lang w:val="ro-RO"/>
              </w:rPr>
            </w:pPr>
            <w:r w:rsidRPr="00BF7956">
              <w:rPr>
                <w:sz w:val="20"/>
                <w:szCs w:val="20"/>
              </w:rPr>
              <w:t>Necompatibil</w:t>
            </w:r>
          </w:p>
        </w:tc>
        <w:tc>
          <w:tcPr>
            <w:tcW w:w="2223" w:type="dxa"/>
          </w:tcPr>
          <w:p w14:paraId="303A9950" w14:textId="0AA49AF5" w:rsidR="008E3BA7" w:rsidRPr="00BF7956" w:rsidRDefault="008E3BA7" w:rsidP="008E3BA7">
            <w:pPr>
              <w:rPr>
                <w:sz w:val="20"/>
                <w:szCs w:val="20"/>
                <w:lang w:val="ro-RO"/>
              </w:rPr>
            </w:pPr>
            <w:r w:rsidRPr="00BF7956">
              <w:rPr>
                <w:sz w:val="20"/>
                <w:szCs w:val="20"/>
                <w:lang w:val="ro-RO"/>
              </w:rPr>
              <w:t xml:space="preserve">Prevederile aferente rețelelor cooperatiste și sistemelor instituționale de protecție nu au fost transpuse, deoarece astfel de rețele /instituții </w:t>
            </w:r>
            <w:r w:rsidRPr="00BF7956">
              <w:rPr>
                <w:sz w:val="20"/>
                <w:szCs w:val="20"/>
                <w:lang w:val="ro-RO"/>
              </w:rPr>
              <w:lastRenderedPageBreak/>
              <w:t>nu sunt reglementate în Republica Moldova.</w:t>
            </w:r>
          </w:p>
        </w:tc>
        <w:tc>
          <w:tcPr>
            <w:tcW w:w="1134" w:type="dxa"/>
            <w:tcBorders>
              <w:top w:val="single" w:sz="4" w:space="0" w:color="auto"/>
              <w:bottom w:val="single" w:sz="4" w:space="0" w:color="auto"/>
            </w:tcBorders>
          </w:tcPr>
          <w:p w14:paraId="53186FF2" w14:textId="77777777" w:rsidR="008E3BA7" w:rsidRPr="00BF7956" w:rsidRDefault="008E3BA7" w:rsidP="008E3BA7">
            <w:pPr>
              <w:jc w:val="both"/>
              <w:rPr>
                <w:sz w:val="20"/>
                <w:szCs w:val="20"/>
                <w:lang w:val="ro-RO"/>
              </w:rPr>
            </w:pPr>
          </w:p>
        </w:tc>
        <w:tc>
          <w:tcPr>
            <w:tcW w:w="992" w:type="dxa"/>
          </w:tcPr>
          <w:p w14:paraId="6B8B879B" w14:textId="77777777" w:rsidR="008E3BA7" w:rsidRPr="00BF7956" w:rsidRDefault="008E3BA7" w:rsidP="008E3BA7">
            <w:pPr>
              <w:jc w:val="both"/>
              <w:rPr>
                <w:sz w:val="20"/>
                <w:szCs w:val="20"/>
                <w:lang w:val="ro-RO"/>
              </w:rPr>
            </w:pPr>
          </w:p>
        </w:tc>
      </w:tr>
      <w:tr w:rsidR="008E3BA7" w:rsidRPr="00BF7956" w14:paraId="720B9401"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2D549FAA"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0D5D6FE" w14:textId="44B1CBA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6A5B260" w14:textId="23BE453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DB9007E" w14:textId="454243D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altele</w:t>
                  </w:r>
                </w:p>
              </w:tc>
            </w:tr>
          </w:tbl>
          <w:p w14:paraId="0AF8B625"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3C0D23C"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7AE89F0"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1120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6DEE83B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241074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altele</w:t>
                  </w:r>
                </w:p>
              </w:tc>
            </w:tr>
          </w:tbl>
          <w:p w14:paraId="027054E7" w14:textId="77777777" w:rsidR="008E3BA7" w:rsidRPr="00BF7956" w:rsidRDefault="008E3BA7" w:rsidP="008E3BA7">
            <w:pPr>
              <w:pStyle w:val="CM4"/>
              <w:spacing w:before="60" w:after="60"/>
              <w:rPr>
                <w:sz w:val="20"/>
                <w:szCs w:val="20"/>
              </w:rPr>
            </w:pPr>
          </w:p>
        </w:tc>
        <w:tc>
          <w:tcPr>
            <w:tcW w:w="1418" w:type="dxa"/>
          </w:tcPr>
          <w:p w14:paraId="2A75E2E2" w14:textId="0F61ECD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78DBE1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3C2357F" w14:textId="77777777" w:rsidR="008E3BA7" w:rsidRPr="00BF7956" w:rsidRDefault="008E3BA7" w:rsidP="008E3BA7">
            <w:pPr>
              <w:jc w:val="both"/>
              <w:rPr>
                <w:sz w:val="20"/>
                <w:szCs w:val="20"/>
                <w:lang w:val="ro-RO"/>
              </w:rPr>
            </w:pPr>
          </w:p>
        </w:tc>
        <w:tc>
          <w:tcPr>
            <w:tcW w:w="992" w:type="dxa"/>
          </w:tcPr>
          <w:p w14:paraId="2C8B2B5F" w14:textId="77777777" w:rsidR="008E3BA7" w:rsidRPr="00BF7956" w:rsidRDefault="008E3BA7" w:rsidP="008E3BA7">
            <w:pPr>
              <w:jc w:val="both"/>
              <w:rPr>
                <w:sz w:val="20"/>
                <w:szCs w:val="20"/>
                <w:lang w:val="ro-RO"/>
              </w:rPr>
            </w:pPr>
          </w:p>
        </w:tc>
      </w:tr>
      <w:tr w:rsidR="008E3BA7" w:rsidRPr="00BF7956" w14:paraId="6D9FB104"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0BC3D83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27E17F3" w14:textId="68FA6CF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A697AED" w14:textId="2E75500E"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B9DB20A" w14:textId="6B2C6CFF"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de lichiditate</w:t>
                  </w:r>
                </w:p>
              </w:tc>
            </w:tr>
          </w:tbl>
          <w:p w14:paraId="5E3BCC6B"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4248B56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E25E42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EAE3CB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4.1.2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D5C8AE1"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Facilități de lichiditate</w:t>
                  </w:r>
                </w:p>
              </w:tc>
            </w:tr>
          </w:tbl>
          <w:p w14:paraId="371E071A" w14:textId="77777777" w:rsidR="008E3BA7" w:rsidRPr="00BF7956" w:rsidRDefault="008E3BA7" w:rsidP="008E3BA7">
            <w:pPr>
              <w:pStyle w:val="CM4"/>
              <w:spacing w:before="60" w:after="60"/>
              <w:rPr>
                <w:sz w:val="20"/>
                <w:szCs w:val="20"/>
              </w:rPr>
            </w:pPr>
          </w:p>
        </w:tc>
        <w:tc>
          <w:tcPr>
            <w:tcW w:w="1418" w:type="dxa"/>
          </w:tcPr>
          <w:p w14:paraId="16034F4F" w14:textId="3AC8217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8063B8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2267BDD" w14:textId="77777777" w:rsidR="008E3BA7" w:rsidRPr="00BF7956" w:rsidRDefault="008E3BA7" w:rsidP="008E3BA7">
            <w:pPr>
              <w:jc w:val="both"/>
              <w:rPr>
                <w:sz w:val="20"/>
                <w:szCs w:val="20"/>
                <w:lang w:val="ro-RO"/>
              </w:rPr>
            </w:pPr>
          </w:p>
        </w:tc>
        <w:tc>
          <w:tcPr>
            <w:tcW w:w="992" w:type="dxa"/>
          </w:tcPr>
          <w:p w14:paraId="596AB49C" w14:textId="77777777" w:rsidR="008E3BA7" w:rsidRPr="00BF7956" w:rsidRDefault="008E3BA7" w:rsidP="008E3BA7">
            <w:pPr>
              <w:jc w:val="both"/>
              <w:rPr>
                <w:sz w:val="20"/>
                <w:szCs w:val="20"/>
                <w:lang w:val="ro-RO"/>
              </w:rPr>
            </w:pPr>
          </w:p>
        </w:tc>
      </w:tr>
      <w:tr w:rsidR="00D60CE4" w:rsidRPr="00BF7956" w14:paraId="39934639"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D60CE4" w:rsidRPr="002C43F1" w14:paraId="3D4FFF2A"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97D0AAF" w14:textId="7E8EE184" w:rsidR="00D60CE4" w:rsidRPr="00BF7956" w:rsidRDefault="00D60CE4" w:rsidP="00D60CE4">
                  <w:pPr>
                    <w:pStyle w:val="CM4"/>
                    <w:framePr w:hSpace="180" w:wrap="around" w:vAnchor="text" w:hAnchor="margin" w:y="137"/>
                    <w:spacing w:before="60" w:after="60"/>
                    <w:rPr>
                      <w:i/>
                      <w:iCs/>
                      <w:color w:val="000000"/>
                      <w:sz w:val="20"/>
                      <w:szCs w:val="20"/>
                    </w:rPr>
                  </w:pPr>
                  <w:r w:rsidRPr="00BF7956">
                    <w:rPr>
                      <w:sz w:val="20"/>
                      <w:szCs w:val="20"/>
                    </w:rPr>
                    <w:t>1131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D0FB988" w14:textId="3EFF3F27" w:rsidR="00D60CE4" w:rsidRPr="00BF7956" w:rsidRDefault="00D60CE4" w:rsidP="00D60CE4">
                  <w:pPr>
                    <w:pStyle w:val="CM4"/>
                    <w:framePr w:hSpace="180" w:wrap="around" w:vAnchor="text" w:hAnchor="margin" w:y="137"/>
                    <w:spacing w:before="60" w:after="60"/>
                    <w:rPr>
                      <w:i/>
                      <w:iCs/>
                      <w:color w:val="000000"/>
                      <w:sz w:val="20"/>
                      <w:szCs w:val="20"/>
                    </w:rPr>
                  </w:pPr>
                  <w:r w:rsidRPr="00BF7956">
                    <w:rPr>
                      <w:sz w:val="20"/>
                      <w:szCs w:val="20"/>
                    </w:rPr>
                    <w:t>4.1a</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F4D8E11" w14:textId="460594D3" w:rsidR="00D60CE4" w:rsidRPr="00BF7956" w:rsidRDefault="00D60CE4" w:rsidP="00D60CE4">
                  <w:pPr>
                    <w:pStyle w:val="CM4"/>
                    <w:framePr w:hSpace="180" w:wrap="around" w:vAnchor="text" w:hAnchor="margin" w:y="137"/>
                    <w:spacing w:before="60" w:after="60"/>
                    <w:rPr>
                      <w:i/>
                      <w:iCs/>
                      <w:color w:val="000000"/>
                      <w:sz w:val="20"/>
                      <w:szCs w:val="20"/>
                    </w:rPr>
                  </w:pPr>
                  <w:r w:rsidRPr="00BF7956">
                    <w:rPr>
                      <w:sz w:val="20"/>
                      <w:szCs w:val="20"/>
                    </w:rPr>
                    <w:t>Ieșiri rezultate din facilități de finanțare neangajate</w:t>
                  </w:r>
                </w:p>
              </w:tc>
            </w:tr>
          </w:tbl>
          <w:p w14:paraId="0584187D" w14:textId="77777777" w:rsidR="00D60CE4" w:rsidRPr="00BF7956" w:rsidRDefault="00D60CE4"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D60CE4" w:rsidRPr="002C43F1" w14:paraId="36118B03" w14:textId="77777777" w:rsidTr="00C63E97">
              <w:tc>
                <w:tcPr>
                  <w:tcW w:w="712" w:type="dxa"/>
                  <w:tcBorders>
                    <w:top w:val="outset" w:sz="6" w:space="0" w:color="auto"/>
                    <w:left w:val="outset" w:sz="6" w:space="0" w:color="auto"/>
                    <w:bottom w:val="outset" w:sz="6" w:space="0" w:color="auto"/>
                    <w:right w:val="outset" w:sz="6" w:space="0" w:color="auto"/>
                  </w:tcBorders>
                  <w:shd w:val="clear" w:color="auto" w:fill="auto"/>
                </w:tcPr>
                <w:p w14:paraId="65305BA4" w14:textId="17B0DDC5" w:rsidR="00D60CE4" w:rsidRPr="00BF7956" w:rsidRDefault="00D60CE4" w:rsidP="00D60CE4">
                  <w:pPr>
                    <w:pStyle w:val="CM4"/>
                    <w:framePr w:hSpace="180" w:wrap="around" w:vAnchor="text" w:hAnchor="margin" w:y="137"/>
                    <w:spacing w:before="60" w:after="60"/>
                    <w:rPr>
                      <w:i/>
                      <w:iCs/>
                      <w:color w:val="000000"/>
                      <w:sz w:val="20"/>
                      <w:szCs w:val="20"/>
                    </w:rPr>
                  </w:pPr>
                  <w:r w:rsidRPr="00BF7956">
                    <w:rPr>
                      <w:sz w:val="20"/>
                      <w:szCs w:val="20"/>
                    </w:rPr>
                    <w:t>1131</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B387D05" w14:textId="3EEC2C5E" w:rsidR="00D60CE4" w:rsidRPr="00BF7956" w:rsidRDefault="00D60CE4" w:rsidP="00D60CE4">
                  <w:pPr>
                    <w:pStyle w:val="CM4"/>
                    <w:framePr w:hSpace="180" w:wrap="around" w:vAnchor="text" w:hAnchor="margin" w:y="137"/>
                    <w:spacing w:before="60" w:after="60"/>
                    <w:rPr>
                      <w:i/>
                      <w:iCs/>
                      <w:color w:val="000000"/>
                      <w:sz w:val="20"/>
                      <w:szCs w:val="20"/>
                    </w:rPr>
                  </w:pPr>
                  <w:r w:rsidRPr="00BF7956">
                    <w:rPr>
                      <w:sz w:val="20"/>
                      <w:szCs w:val="20"/>
                    </w:rPr>
                    <w:t>4.1a</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120E583" w14:textId="58D178D0" w:rsidR="00D60CE4" w:rsidRPr="00BF7956" w:rsidRDefault="00D60CE4" w:rsidP="00D60CE4">
                  <w:pPr>
                    <w:pStyle w:val="CM4"/>
                    <w:framePr w:hSpace="180" w:wrap="around" w:vAnchor="text" w:hAnchor="margin" w:y="137"/>
                    <w:spacing w:before="60" w:after="60"/>
                    <w:rPr>
                      <w:i/>
                      <w:iCs/>
                      <w:color w:val="000000"/>
                      <w:sz w:val="20"/>
                      <w:szCs w:val="20"/>
                    </w:rPr>
                  </w:pPr>
                  <w:r w:rsidRPr="00BF7956">
                    <w:rPr>
                      <w:sz w:val="20"/>
                      <w:szCs w:val="20"/>
                    </w:rPr>
                    <w:t>Ieșiri rezultate din facilități de finanțare neangajate</w:t>
                  </w:r>
                </w:p>
              </w:tc>
            </w:tr>
          </w:tbl>
          <w:p w14:paraId="37AC27A3" w14:textId="77777777" w:rsidR="00D60CE4" w:rsidRPr="00BF7956" w:rsidRDefault="00D60CE4" w:rsidP="008E3BA7">
            <w:pPr>
              <w:pStyle w:val="CM4"/>
              <w:spacing w:before="60" w:after="60"/>
              <w:rPr>
                <w:sz w:val="20"/>
                <w:szCs w:val="20"/>
              </w:rPr>
            </w:pPr>
          </w:p>
        </w:tc>
        <w:tc>
          <w:tcPr>
            <w:tcW w:w="1418" w:type="dxa"/>
          </w:tcPr>
          <w:p w14:paraId="627962D7" w14:textId="7104EB95" w:rsidR="00D60CE4" w:rsidRPr="00BF7956" w:rsidRDefault="00D60CE4" w:rsidP="008E3BA7">
            <w:pPr>
              <w:rPr>
                <w:bCs/>
                <w:sz w:val="20"/>
                <w:szCs w:val="20"/>
                <w:lang w:val="ro-RO"/>
              </w:rPr>
            </w:pPr>
            <w:r w:rsidRPr="00BF7956">
              <w:rPr>
                <w:bCs/>
                <w:sz w:val="20"/>
                <w:szCs w:val="20"/>
                <w:lang w:val="ro-RO"/>
              </w:rPr>
              <w:t>Compatibil</w:t>
            </w:r>
          </w:p>
        </w:tc>
        <w:tc>
          <w:tcPr>
            <w:tcW w:w="2223" w:type="dxa"/>
          </w:tcPr>
          <w:p w14:paraId="65D1CF02" w14:textId="77777777" w:rsidR="00D60CE4" w:rsidRPr="00BF7956" w:rsidRDefault="00D60CE4" w:rsidP="008E3BA7">
            <w:pPr>
              <w:jc w:val="both"/>
              <w:rPr>
                <w:sz w:val="20"/>
                <w:szCs w:val="20"/>
                <w:lang w:val="ro-RO"/>
              </w:rPr>
            </w:pPr>
          </w:p>
        </w:tc>
        <w:tc>
          <w:tcPr>
            <w:tcW w:w="1134" w:type="dxa"/>
            <w:tcBorders>
              <w:top w:val="single" w:sz="4" w:space="0" w:color="auto"/>
              <w:bottom w:val="single" w:sz="4" w:space="0" w:color="auto"/>
            </w:tcBorders>
          </w:tcPr>
          <w:p w14:paraId="3CFF7810" w14:textId="77777777" w:rsidR="00D60CE4" w:rsidRPr="00BF7956" w:rsidRDefault="00D60CE4" w:rsidP="008E3BA7">
            <w:pPr>
              <w:jc w:val="both"/>
              <w:rPr>
                <w:sz w:val="20"/>
                <w:szCs w:val="20"/>
                <w:lang w:val="ro-RO"/>
              </w:rPr>
            </w:pPr>
          </w:p>
        </w:tc>
        <w:tc>
          <w:tcPr>
            <w:tcW w:w="992" w:type="dxa"/>
          </w:tcPr>
          <w:p w14:paraId="2FADCCB7" w14:textId="77777777" w:rsidR="00D60CE4" w:rsidRPr="00BF7956" w:rsidRDefault="00D60CE4" w:rsidP="008E3BA7">
            <w:pPr>
              <w:jc w:val="both"/>
              <w:rPr>
                <w:sz w:val="20"/>
                <w:szCs w:val="20"/>
                <w:lang w:val="ro-RO"/>
              </w:rPr>
            </w:pPr>
          </w:p>
        </w:tc>
      </w:tr>
      <w:tr w:rsidR="008E3BA7" w:rsidRPr="00BF7956" w14:paraId="5496506B"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2BDB679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34B753F" w14:textId="08932C3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0DDF0F7" w14:textId="4535EB6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4.2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D720FF7" w14:textId="3666130D"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Ieșiri determinate de evenimente declanșatoare de tipul scăderii ratingului</w:t>
                  </w:r>
                </w:p>
              </w:tc>
            </w:tr>
          </w:tbl>
          <w:p w14:paraId="7783D8F7"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60DE225F"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8FF94A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1140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FF7259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4.2</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476AA238"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Ieșiri determinate de evenimente declanșatoare de tipul scăderii ratingului</w:t>
                  </w:r>
                </w:p>
              </w:tc>
            </w:tr>
          </w:tbl>
          <w:p w14:paraId="182765FB" w14:textId="77777777" w:rsidR="008E3BA7" w:rsidRPr="00BF7956" w:rsidRDefault="008E3BA7" w:rsidP="008E3BA7">
            <w:pPr>
              <w:pStyle w:val="CM4"/>
              <w:spacing w:before="60" w:after="60"/>
              <w:rPr>
                <w:sz w:val="20"/>
                <w:szCs w:val="20"/>
                <w:lang w:val="it-IT"/>
              </w:rPr>
            </w:pPr>
          </w:p>
        </w:tc>
        <w:tc>
          <w:tcPr>
            <w:tcW w:w="1418" w:type="dxa"/>
          </w:tcPr>
          <w:p w14:paraId="3A80178A" w14:textId="2AB99E6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F13DC4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7F767A4" w14:textId="77777777" w:rsidR="008E3BA7" w:rsidRPr="00BF7956" w:rsidRDefault="008E3BA7" w:rsidP="008E3BA7">
            <w:pPr>
              <w:jc w:val="both"/>
              <w:rPr>
                <w:sz w:val="20"/>
                <w:szCs w:val="20"/>
                <w:lang w:val="ro-RO"/>
              </w:rPr>
            </w:pPr>
          </w:p>
        </w:tc>
        <w:tc>
          <w:tcPr>
            <w:tcW w:w="992" w:type="dxa"/>
          </w:tcPr>
          <w:p w14:paraId="094FC71D" w14:textId="77777777" w:rsidR="008E3BA7" w:rsidRPr="00BF7956" w:rsidRDefault="008E3BA7" w:rsidP="008E3BA7">
            <w:pPr>
              <w:jc w:val="both"/>
              <w:rPr>
                <w:sz w:val="20"/>
                <w:szCs w:val="20"/>
                <w:lang w:val="ro-RO"/>
              </w:rPr>
            </w:pPr>
          </w:p>
        </w:tc>
      </w:tr>
      <w:tr w:rsidR="008E3BA7" w:rsidRPr="00BF7956" w14:paraId="6E5D9595" w14:textId="77777777" w:rsidTr="00C25F84">
        <w:tc>
          <w:tcPr>
            <w:tcW w:w="4576" w:type="dxa"/>
          </w:tcPr>
          <w:tbl>
            <w:tblPr>
              <w:tblStyle w:val="TableGrid"/>
              <w:tblW w:w="0" w:type="auto"/>
              <w:tblLayout w:type="fixed"/>
              <w:tblLook w:val="04A0" w:firstRow="1" w:lastRow="0" w:firstColumn="1" w:lastColumn="0" w:noHBand="0" w:noVBand="1"/>
            </w:tblPr>
            <w:tblGrid>
              <w:gridCol w:w="712"/>
              <w:gridCol w:w="3538"/>
            </w:tblGrid>
            <w:tr w:rsidR="008E3BA7" w:rsidRPr="00BF7956" w14:paraId="3F85B54A" w14:textId="77777777" w:rsidTr="00B2468E">
              <w:tc>
                <w:tcPr>
                  <w:tcW w:w="712" w:type="dxa"/>
                  <w:tcBorders>
                    <w:top w:val="outset" w:sz="6" w:space="0" w:color="auto"/>
                    <w:left w:val="outset" w:sz="6" w:space="0" w:color="auto"/>
                    <w:bottom w:val="outset" w:sz="6" w:space="0" w:color="auto"/>
                    <w:right w:val="outset" w:sz="6" w:space="0" w:color="auto"/>
                  </w:tcBorders>
                  <w:shd w:val="clear" w:color="auto" w:fill="auto"/>
                </w:tcPr>
                <w:p w14:paraId="198C29F6" w14:textId="6F854C0A"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1150-1290</w:t>
                  </w:r>
                </w:p>
              </w:tc>
              <w:tc>
                <w:tcPr>
                  <w:tcW w:w="3538" w:type="dxa"/>
                  <w:tcBorders>
                    <w:top w:val="outset" w:sz="6" w:space="0" w:color="auto"/>
                    <w:left w:val="outset" w:sz="6" w:space="0" w:color="auto"/>
                    <w:bottom w:val="outset" w:sz="6" w:space="0" w:color="auto"/>
                    <w:right w:val="outset" w:sz="6" w:space="0" w:color="auto"/>
                  </w:tcBorders>
                  <w:shd w:val="clear" w:color="auto" w:fill="auto"/>
                </w:tcPr>
                <w:p w14:paraId="7AF90D72" w14:textId="099DEBC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ELEMENTE MEMORANDUM</w:t>
                  </w:r>
                </w:p>
              </w:tc>
            </w:tr>
          </w:tbl>
          <w:p w14:paraId="547287E1" w14:textId="77777777" w:rsidR="008E3BA7" w:rsidRPr="00BF7956" w:rsidRDefault="008E3BA7" w:rsidP="008E3BA7">
            <w:pPr>
              <w:pStyle w:val="CM4"/>
              <w:spacing w:before="60" w:after="60"/>
              <w:rPr>
                <w:sz w:val="20"/>
                <w:szCs w:val="20"/>
                <w:lang w:val="en-US"/>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3538"/>
            </w:tblGrid>
            <w:tr w:rsidR="008E3BA7" w:rsidRPr="00BF7956" w14:paraId="62FDEDE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12D6F11" w14:textId="73BBE6D0"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w:t>
                  </w:r>
                  <w:r w:rsidR="00D60CE4" w:rsidRPr="00BF7956">
                    <w:rPr>
                      <w:b/>
                      <w:bCs/>
                      <w:sz w:val="20"/>
                      <w:szCs w:val="20"/>
                    </w:rPr>
                    <w:t>200</w:t>
                  </w:r>
                  <w:r w:rsidRPr="00BF7956">
                    <w:rPr>
                      <w:b/>
                      <w:bCs/>
                      <w:sz w:val="20"/>
                      <w:szCs w:val="20"/>
                    </w:rPr>
                    <w:t>-1290</w:t>
                  </w:r>
                </w:p>
              </w:tc>
              <w:tc>
                <w:tcPr>
                  <w:tcW w:w="3538" w:type="dxa"/>
                  <w:tcBorders>
                    <w:top w:val="outset" w:sz="6" w:space="0" w:color="auto"/>
                    <w:left w:val="outset" w:sz="6" w:space="0" w:color="auto"/>
                    <w:bottom w:val="outset" w:sz="6" w:space="0" w:color="auto"/>
                    <w:right w:val="outset" w:sz="6" w:space="0" w:color="auto"/>
                  </w:tcBorders>
                  <w:shd w:val="clear" w:color="auto" w:fill="auto"/>
                </w:tcPr>
                <w:p w14:paraId="270AC395"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ELEMENTE MEMORANDUM</w:t>
                  </w:r>
                </w:p>
              </w:tc>
            </w:tr>
          </w:tbl>
          <w:p w14:paraId="48D3966F" w14:textId="77777777" w:rsidR="008E3BA7" w:rsidRPr="00BF7956" w:rsidRDefault="008E3BA7" w:rsidP="008E3BA7">
            <w:pPr>
              <w:pStyle w:val="CM4"/>
              <w:spacing w:before="60" w:after="60"/>
              <w:rPr>
                <w:sz w:val="20"/>
                <w:szCs w:val="20"/>
              </w:rPr>
            </w:pPr>
          </w:p>
        </w:tc>
        <w:tc>
          <w:tcPr>
            <w:tcW w:w="1418" w:type="dxa"/>
          </w:tcPr>
          <w:p w14:paraId="783EF60A" w14:textId="3880AEC1" w:rsidR="008E3BA7" w:rsidRPr="00BF7956" w:rsidRDefault="008E3BA7" w:rsidP="008E3BA7">
            <w:pPr>
              <w:rPr>
                <w:b/>
                <w:strike/>
                <w:sz w:val="20"/>
                <w:szCs w:val="20"/>
                <w:lang w:val="en-US"/>
              </w:rPr>
            </w:pPr>
            <w:r w:rsidRPr="00BF7956">
              <w:rPr>
                <w:bCs/>
                <w:sz w:val="20"/>
                <w:szCs w:val="20"/>
                <w:lang w:val="ro-RO"/>
              </w:rPr>
              <w:t>Compatibil</w:t>
            </w:r>
          </w:p>
        </w:tc>
        <w:tc>
          <w:tcPr>
            <w:tcW w:w="2223" w:type="dxa"/>
          </w:tcPr>
          <w:p w14:paraId="2271D60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42D39F1" w14:textId="77777777" w:rsidR="008E3BA7" w:rsidRPr="00BF7956" w:rsidRDefault="008E3BA7" w:rsidP="008E3BA7">
            <w:pPr>
              <w:jc w:val="both"/>
              <w:rPr>
                <w:sz w:val="20"/>
                <w:szCs w:val="20"/>
                <w:lang w:val="ro-RO"/>
              </w:rPr>
            </w:pPr>
          </w:p>
        </w:tc>
        <w:tc>
          <w:tcPr>
            <w:tcW w:w="992" w:type="dxa"/>
          </w:tcPr>
          <w:p w14:paraId="56149323" w14:textId="77777777" w:rsidR="008E3BA7" w:rsidRPr="00BF7956" w:rsidRDefault="008E3BA7" w:rsidP="008E3BA7">
            <w:pPr>
              <w:jc w:val="both"/>
              <w:rPr>
                <w:sz w:val="20"/>
                <w:szCs w:val="20"/>
                <w:lang w:val="ro-RO"/>
              </w:rPr>
            </w:pPr>
          </w:p>
        </w:tc>
      </w:tr>
      <w:tr w:rsidR="008E3BA7" w:rsidRPr="00BF7956" w14:paraId="5CEFAFF0"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1C8580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0604E79F" w14:textId="3A04A870"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53674CA" w14:textId="3186C45F"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152B1B70" w14:textId="5E19AE47" w:rsidR="008E3BA7" w:rsidRPr="00BF7956" w:rsidRDefault="00D60CE4" w:rsidP="008E3BA7">
                  <w:pPr>
                    <w:pStyle w:val="CM4"/>
                    <w:framePr w:hSpace="180" w:wrap="around" w:vAnchor="text" w:hAnchor="margin" w:y="137"/>
                    <w:spacing w:before="60" w:after="60"/>
                    <w:rPr>
                      <w:i/>
                      <w:iCs/>
                      <w:color w:val="000000"/>
                      <w:sz w:val="20"/>
                      <w:szCs w:val="20"/>
                    </w:rPr>
                  </w:pPr>
                  <w:r w:rsidRPr="00BF7956">
                    <w:rPr>
                      <w:b/>
                      <w:bCs/>
                      <w:sz w:val="20"/>
                      <w:szCs w:val="20"/>
                    </w:rPr>
                    <w:t>Active HQLA eligibile pentru operațiuni cu banca centrală - active tranzacționabile</w:t>
                  </w:r>
                </w:p>
              </w:tc>
            </w:tr>
          </w:tbl>
          <w:p w14:paraId="4409F84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05ED38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2BE1642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1230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00CBDEE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13</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2832CFE9" w14:textId="788AEA91" w:rsidR="008E3BA7" w:rsidRPr="00BF7956" w:rsidRDefault="00D60CE4" w:rsidP="008E3BA7">
                  <w:pPr>
                    <w:pStyle w:val="CM4"/>
                    <w:framePr w:hSpace="180" w:wrap="around" w:vAnchor="text" w:hAnchor="margin" w:y="137"/>
                    <w:spacing w:before="60" w:after="60"/>
                    <w:rPr>
                      <w:i/>
                      <w:iCs/>
                      <w:color w:val="000000"/>
                      <w:sz w:val="20"/>
                      <w:szCs w:val="20"/>
                    </w:rPr>
                  </w:pPr>
                  <w:r w:rsidRPr="00BF7956">
                    <w:rPr>
                      <w:b/>
                      <w:bCs/>
                      <w:sz w:val="20"/>
                      <w:szCs w:val="20"/>
                    </w:rPr>
                    <w:t>Active HQLA eligibile pentru operațiuni cu banca centrală - active tranzacționabile</w:t>
                  </w:r>
                </w:p>
              </w:tc>
            </w:tr>
          </w:tbl>
          <w:p w14:paraId="4D87AC5D" w14:textId="77777777" w:rsidR="008E3BA7" w:rsidRPr="00BF7956" w:rsidRDefault="008E3BA7" w:rsidP="008E3BA7">
            <w:pPr>
              <w:pStyle w:val="CM4"/>
              <w:spacing w:before="60" w:after="60"/>
              <w:rPr>
                <w:sz w:val="20"/>
                <w:szCs w:val="20"/>
              </w:rPr>
            </w:pPr>
          </w:p>
        </w:tc>
        <w:tc>
          <w:tcPr>
            <w:tcW w:w="1418" w:type="dxa"/>
          </w:tcPr>
          <w:p w14:paraId="68EC586E" w14:textId="43233D1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E095C5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8282A0E" w14:textId="77777777" w:rsidR="008E3BA7" w:rsidRPr="00BF7956" w:rsidRDefault="008E3BA7" w:rsidP="008E3BA7">
            <w:pPr>
              <w:jc w:val="both"/>
              <w:rPr>
                <w:sz w:val="20"/>
                <w:szCs w:val="20"/>
                <w:lang w:val="ro-RO"/>
              </w:rPr>
            </w:pPr>
          </w:p>
        </w:tc>
        <w:tc>
          <w:tcPr>
            <w:tcW w:w="992" w:type="dxa"/>
          </w:tcPr>
          <w:p w14:paraId="17E23A9F" w14:textId="77777777" w:rsidR="008E3BA7" w:rsidRPr="00BF7956" w:rsidRDefault="008E3BA7" w:rsidP="008E3BA7">
            <w:pPr>
              <w:jc w:val="both"/>
              <w:rPr>
                <w:sz w:val="20"/>
                <w:szCs w:val="20"/>
                <w:lang w:val="ro-RO"/>
              </w:rPr>
            </w:pPr>
          </w:p>
        </w:tc>
      </w:tr>
      <w:tr w:rsidR="008E3BA7" w:rsidRPr="00BF7956" w14:paraId="6C37486D"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396B2553"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6DE6C5AF" w14:textId="7BA6F5B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93AB80B" w14:textId="0FD4FA15"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6CB3665E" w14:textId="3EA033F5" w:rsidR="008E3BA7" w:rsidRPr="00BF7956" w:rsidRDefault="00D60CE4" w:rsidP="008E3BA7">
                  <w:pPr>
                    <w:pStyle w:val="CM4"/>
                    <w:framePr w:hSpace="180" w:wrap="around" w:vAnchor="text" w:hAnchor="margin" w:y="137"/>
                    <w:spacing w:before="60" w:after="60"/>
                    <w:rPr>
                      <w:i/>
                      <w:iCs/>
                      <w:color w:val="000000"/>
                      <w:sz w:val="20"/>
                      <w:szCs w:val="20"/>
                    </w:rPr>
                  </w:pPr>
                  <w:r w:rsidRPr="00BF7956">
                    <w:rPr>
                      <w:b/>
                      <w:bCs/>
                      <w:sz w:val="20"/>
                      <w:szCs w:val="20"/>
                    </w:rPr>
                    <w:t>Active eligibile pentru operațiuni cu banca centrală care nu sunt HQLA raportate la punctul 3.6</w:t>
                  </w:r>
                </w:p>
              </w:tc>
            </w:tr>
          </w:tbl>
          <w:p w14:paraId="094D8C4C"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67A4FFE"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10E56B4D"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1240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C5219D3"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14</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4B59DFB" w14:textId="6BE32634" w:rsidR="008E3BA7" w:rsidRPr="00BF7956" w:rsidRDefault="00D60CE4" w:rsidP="008E3BA7">
                  <w:pPr>
                    <w:pStyle w:val="CM4"/>
                    <w:framePr w:hSpace="180" w:wrap="around" w:vAnchor="text" w:hAnchor="margin" w:y="137"/>
                    <w:spacing w:before="60" w:after="60"/>
                    <w:rPr>
                      <w:i/>
                      <w:iCs/>
                      <w:color w:val="000000"/>
                      <w:sz w:val="20"/>
                      <w:szCs w:val="20"/>
                    </w:rPr>
                  </w:pPr>
                  <w:r w:rsidRPr="00BF7956">
                    <w:rPr>
                      <w:b/>
                      <w:bCs/>
                      <w:sz w:val="20"/>
                      <w:szCs w:val="20"/>
                    </w:rPr>
                    <w:t>Active eligibile pentru operațiuni cu banca centrală care nu sunt HQLA raportate la punctul 3.6</w:t>
                  </w:r>
                </w:p>
              </w:tc>
            </w:tr>
          </w:tbl>
          <w:p w14:paraId="7F0BFCF9" w14:textId="77777777" w:rsidR="008E3BA7" w:rsidRPr="00BF7956" w:rsidRDefault="008E3BA7" w:rsidP="008E3BA7">
            <w:pPr>
              <w:pStyle w:val="CM4"/>
              <w:spacing w:before="60" w:after="60"/>
              <w:rPr>
                <w:sz w:val="20"/>
                <w:szCs w:val="20"/>
              </w:rPr>
            </w:pPr>
          </w:p>
        </w:tc>
        <w:tc>
          <w:tcPr>
            <w:tcW w:w="1418" w:type="dxa"/>
          </w:tcPr>
          <w:p w14:paraId="09F4D399" w14:textId="39EC752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06640D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DD34589" w14:textId="77777777" w:rsidR="008E3BA7" w:rsidRPr="00BF7956" w:rsidRDefault="008E3BA7" w:rsidP="008E3BA7">
            <w:pPr>
              <w:jc w:val="both"/>
              <w:rPr>
                <w:sz w:val="20"/>
                <w:szCs w:val="20"/>
                <w:lang w:val="ro-RO"/>
              </w:rPr>
            </w:pPr>
          </w:p>
        </w:tc>
        <w:tc>
          <w:tcPr>
            <w:tcW w:w="992" w:type="dxa"/>
          </w:tcPr>
          <w:p w14:paraId="6D1F7E25" w14:textId="77777777" w:rsidR="008E3BA7" w:rsidRPr="00BF7956" w:rsidRDefault="008E3BA7" w:rsidP="008E3BA7">
            <w:pPr>
              <w:jc w:val="both"/>
              <w:rPr>
                <w:sz w:val="20"/>
                <w:szCs w:val="20"/>
                <w:lang w:val="ro-RO"/>
              </w:rPr>
            </w:pPr>
          </w:p>
        </w:tc>
      </w:tr>
      <w:tr w:rsidR="008E3BA7" w:rsidRPr="00BF7956" w14:paraId="5D8DE536"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1AD8220D"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E83C0AF" w14:textId="02E10FC2"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7F83EA1D" w14:textId="46E56B84"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2B953FF" w14:textId="2C53C5B2"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Ieșiri comportamentale din depozite</w:t>
                  </w:r>
                </w:p>
              </w:tc>
            </w:tr>
          </w:tbl>
          <w:p w14:paraId="6F852431"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BF7956" w14:paraId="6EDDFA11"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D5BAABF"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1270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20B25BA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17</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57399B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Ieșiri comportamentale din depozite</w:t>
                  </w:r>
                </w:p>
              </w:tc>
            </w:tr>
          </w:tbl>
          <w:p w14:paraId="61CA6BC7" w14:textId="77777777" w:rsidR="008E3BA7" w:rsidRPr="00BF7956" w:rsidRDefault="008E3BA7" w:rsidP="008E3BA7">
            <w:pPr>
              <w:pStyle w:val="CM4"/>
              <w:spacing w:before="60" w:after="60"/>
              <w:rPr>
                <w:sz w:val="20"/>
                <w:szCs w:val="20"/>
              </w:rPr>
            </w:pPr>
          </w:p>
        </w:tc>
        <w:tc>
          <w:tcPr>
            <w:tcW w:w="1418" w:type="dxa"/>
          </w:tcPr>
          <w:p w14:paraId="2D95946D" w14:textId="3F57170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E6BD8F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A702F02" w14:textId="77777777" w:rsidR="008E3BA7" w:rsidRPr="00BF7956" w:rsidRDefault="008E3BA7" w:rsidP="008E3BA7">
            <w:pPr>
              <w:jc w:val="both"/>
              <w:rPr>
                <w:sz w:val="20"/>
                <w:szCs w:val="20"/>
                <w:lang w:val="ro-RO"/>
              </w:rPr>
            </w:pPr>
          </w:p>
        </w:tc>
        <w:tc>
          <w:tcPr>
            <w:tcW w:w="992" w:type="dxa"/>
          </w:tcPr>
          <w:p w14:paraId="6CC85C68" w14:textId="77777777" w:rsidR="008E3BA7" w:rsidRPr="00BF7956" w:rsidRDefault="008E3BA7" w:rsidP="008E3BA7">
            <w:pPr>
              <w:jc w:val="both"/>
              <w:rPr>
                <w:sz w:val="20"/>
                <w:szCs w:val="20"/>
                <w:lang w:val="ro-RO"/>
              </w:rPr>
            </w:pPr>
          </w:p>
        </w:tc>
      </w:tr>
      <w:tr w:rsidR="008E3BA7" w:rsidRPr="00BF7956" w14:paraId="1F2D9F1E"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C31CFF0"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09EF9FB" w14:textId="0F2E8F9D"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1DE8F7F0" w14:textId="534634ED"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0D7C7F71" w14:textId="2D247993"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Intrări comportamentale din credite și avansuri</w:t>
                  </w:r>
                </w:p>
              </w:tc>
            </w:tr>
          </w:tbl>
          <w:p w14:paraId="76C3EA7E"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4D73FE16"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54CF5BA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1280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31FD05A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18</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52CE3FD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Intrări comportamentale din credite și avansuri</w:t>
                  </w:r>
                </w:p>
              </w:tc>
            </w:tr>
          </w:tbl>
          <w:p w14:paraId="5507D404" w14:textId="77777777" w:rsidR="008E3BA7" w:rsidRPr="00BF7956" w:rsidRDefault="008E3BA7" w:rsidP="008E3BA7">
            <w:pPr>
              <w:pStyle w:val="CM4"/>
              <w:spacing w:before="60" w:after="60"/>
              <w:rPr>
                <w:sz w:val="20"/>
                <w:szCs w:val="20"/>
              </w:rPr>
            </w:pPr>
          </w:p>
        </w:tc>
        <w:tc>
          <w:tcPr>
            <w:tcW w:w="1418" w:type="dxa"/>
          </w:tcPr>
          <w:p w14:paraId="285D7B31" w14:textId="0B1C75A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54BC33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68C1813" w14:textId="77777777" w:rsidR="008E3BA7" w:rsidRPr="00BF7956" w:rsidRDefault="008E3BA7" w:rsidP="008E3BA7">
            <w:pPr>
              <w:jc w:val="both"/>
              <w:rPr>
                <w:sz w:val="20"/>
                <w:szCs w:val="20"/>
                <w:lang w:val="ro-RO"/>
              </w:rPr>
            </w:pPr>
          </w:p>
        </w:tc>
        <w:tc>
          <w:tcPr>
            <w:tcW w:w="992" w:type="dxa"/>
          </w:tcPr>
          <w:p w14:paraId="2784729C" w14:textId="77777777" w:rsidR="008E3BA7" w:rsidRPr="00BF7956" w:rsidRDefault="008E3BA7" w:rsidP="008E3BA7">
            <w:pPr>
              <w:jc w:val="both"/>
              <w:rPr>
                <w:sz w:val="20"/>
                <w:szCs w:val="20"/>
                <w:lang w:val="ro-RO"/>
              </w:rPr>
            </w:pPr>
          </w:p>
        </w:tc>
      </w:tr>
      <w:tr w:rsidR="008E3BA7" w:rsidRPr="00BF7956" w14:paraId="37851EA2" w14:textId="77777777" w:rsidTr="00C25F84">
        <w:tc>
          <w:tcPr>
            <w:tcW w:w="4576" w:type="dxa"/>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02E3EC85"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465BFB37" w14:textId="40CF9995"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51C14672" w14:textId="7E7BABAD"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19</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7EB86411" w14:textId="6E7A3A55"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Retrageri comportamentale din facilități angajate</w:t>
                  </w:r>
                </w:p>
              </w:tc>
            </w:tr>
          </w:tbl>
          <w:p w14:paraId="10F6AE4F" w14:textId="77777777" w:rsidR="008E3BA7" w:rsidRPr="00BF7956" w:rsidRDefault="008E3BA7" w:rsidP="008E3BA7">
            <w:pPr>
              <w:pStyle w:val="CM4"/>
              <w:spacing w:before="60" w:after="60"/>
              <w:rPr>
                <w:sz w:val="20"/>
                <w:szCs w:val="20"/>
                <w:lang w:val="it-IT"/>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712"/>
              <w:gridCol w:w="559"/>
              <w:gridCol w:w="2979"/>
            </w:tblGrid>
            <w:tr w:rsidR="008E3BA7" w:rsidRPr="002C43F1" w14:paraId="73762927" w14:textId="77777777" w:rsidTr="00E05820">
              <w:tc>
                <w:tcPr>
                  <w:tcW w:w="712" w:type="dxa"/>
                  <w:tcBorders>
                    <w:top w:val="outset" w:sz="6" w:space="0" w:color="auto"/>
                    <w:left w:val="outset" w:sz="6" w:space="0" w:color="auto"/>
                    <w:bottom w:val="outset" w:sz="6" w:space="0" w:color="auto"/>
                    <w:right w:val="outset" w:sz="6" w:space="0" w:color="auto"/>
                  </w:tcBorders>
                  <w:shd w:val="clear" w:color="auto" w:fill="auto"/>
                </w:tcPr>
                <w:p w14:paraId="75E769CE"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sz w:val="20"/>
                      <w:szCs w:val="20"/>
                    </w:rPr>
                    <w:t>1290</w:t>
                  </w:r>
                </w:p>
              </w:tc>
              <w:tc>
                <w:tcPr>
                  <w:tcW w:w="559" w:type="dxa"/>
                  <w:tcBorders>
                    <w:top w:val="outset" w:sz="6" w:space="0" w:color="auto"/>
                    <w:left w:val="outset" w:sz="6" w:space="0" w:color="auto"/>
                    <w:bottom w:val="outset" w:sz="6" w:space="0" w:color="auto"/>
                    <w:right w:val="outset" w:sz="6" w:space="0" w:color="auto"/>
                  </w:tcBorders>
                  <w:shd w:val="clear" w:color="auto" w:fill="auto"/>
                </w:tcPr>
                <w:p w14:paraId="49D2FF8B"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19</w:t>
                  </w:r>
                </w:p>
              </w:tc>
              <w:tc>
                <w:tcPr>
                  <w:tcW w:w="2979" w:type="dxa"/>
                  <w:tcBorders>
                    <w:top w:val="outset" w:sz="6" w:space="0" w:color="auto"/>
                    <w:left w:val="outset" w:sz="6" w:space="0" w:color="auto"/>
                    <w:bottom w:val="outset" w:sz="6" w:space="0" w:color="auto"/>
                    <w:right w:val="outset" w:sz="6" w:space="0" w:color="auto"/>
                  </w:tcBorders>
                  <w:shd w:val="clear" w:color="auto" w:fill="auto"/>
                </w:tcPr>
                <w:p w14:paraId="3EA24D2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sz w:val="20"/>
                      <w:szCs w:val="20"/>
                    </w:rPr>
                    <w:t>Retrageri comportamentale din facilități angajate</w:t>
                  </w:r>
                </w:p>
              </w:tc>
            </w:tr>
          </w:tbl>
          <w:p w14:paraId="6289CB6A" w14:textId="77777777" w:rsidR="008E3BA7" w:rsidRPr="00BF7956" w:rsidRDefault="008E3BA7" w:rsidP="008E3BA7">
            <w:pPr>
              <w:pStyle w:val="CM4"/>
              <w:spacing w:before="60" w:after="60"/>
              <w:rPr>
                <w:sz w:val="20"/>
                <w:szCs w:val="20"/>
              </w:rPr>
            </w:pPr>
          </w:p>
        </w:tc>
        <w:tc>
          <w:tcPr>
            <w:tcW w:w="1418" w:type="dxa"/>
          </w:tcPr>
          <w:p w14:paraId="5B4D7C9F" w14:textId="5DD9CA3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6B2B4C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0CF22E5" w14:textId="77777777" w:rsidR="008E3BA7" w:rsidRPr="00BF7956" w:rsidRDefault="008E3BA7" w:rsidP="008E3BA7">
            <w:pPr>
              <w:jc w:val="both"/>
              <w:rPr>
                <w:sz w:val="20"/>
                <w:szCs w:val="20"/>
                <w:lang w:val="ro-RO"/>
              </w:rPr>
            </w:pPr>
          </w:p>
        </w:tc>
        <w:tc>
          <w:tcPr>
            <w:tcW w:w="992" w:type="dxa"/>
          </w:tcPr>
          <w:p w14:paraId="357A7FC9" w14:textId="77777777" w:rsidR="008E3BA7" w:rsidRPr="00BF7956" w:rsidRDefault="008E3BA7" w:rsidP="008E3BA7">
            <w:pPr>
              <w:jc w:val="both"/>
              <w:rPr>
                <w:sz w:val="20"/>
                <w:szCs w:val="20"/>
                <w:lang w:val="ro-RO"/>
              </w:rPr>
            </w:pPr>
          </w:p>
        </w:tc>
      </w:tr>
      <w:tr w:rsidR="008E3BA7" w:rsidRPr="00BF7956" w14:paraId="18167EFE" w14:textId="77777777" w:rsidTr="00C25F84">
        <w:tc>
          <w:tcPr>
            <w:tcW w:w="4576" w:type="dxa"/>
          </w:tcPr>
          <w:tbl>
            <w:tblPr>
              <w:tblStyle w:val="TableGrid"/>
              <w:tblW w:w="0" w:type="auto"/>
              <w:tblLayout w:type="fixed"/>
              <w:tblLook w:val="04A0" w:firstRow="1" w:lastRow="0" w:firstColumn="1" w:lastColumn="0" w:noHBand="0" w:noVBand="1"/>
            </w:tblPr>
            <w:tblGrid>
              <w:gridCol w:w="726"/>
              <w:gridCol w:w="2707"/>
            </w:tblGrid>
            <w:tr w:rsidR="008E3BA7" w:rsidRPr="00BF7956" w14:paraId="4025D8F4" w14:textId="77777777" w:rsidTr="006356BE">
              <w:tc>
                <w:tcPr>
                  <w:tcW w:w="3433" w:type="dxa"/>
                  <w:gridSpan w:val="2"/>
                </w:tcPr>
                <w:p w14:paraId="5A6DC4DB"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Scadența fluxurilor contractuale</w:t>
                  </w:r>
                </w:p>
              </w:tc>
            </w:tr>
            <w:tr w:rsidR="008E3BA7" w:rsidRPr="00BF7956" w14:paraId="7AE15727" w14:textId="77777777" w:rsidTr="006356BE">
              <w:tc>
                <w:tcPr>
                  <w:tcW w:w="726" w:type="dxa"/>
                </w:tcPr>
                <w:p w14:paraId="0700E8DA" w14:textId="3152EDBD"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010</w:t>
                  </w:r>
                </w:p>
              </w:tc>
              <w:tc>
                <w:tcPr>
                  <w:tcW w:w="2693" w:type="dxa"/>
                </w:tcPr>
                <w:p w14:paraId="48F1AF5D" w14:textId="77777777" w:rsidR="008E3BA7" w:rsidRPr="00BF7956" w:rsidRDefault="008E3BA7" w:rsidP="008E3BA7">
                  <w:pPr>
                    <w:framePr w:hSpace="180" w:wrap="around" w:vAnchor="text" w:hAnchor="margin" w:y="137"/>
                    <w:rPr>
                      <w:rFonts w:eastAsiaTheme="minorHAnsi"/>
                      <w:sz w:val="20"/>
                      <w:szCs w:val="20"/>
                      <w:lang w:val="ro-MD" w:eastAsia="en-US"/>
                    </w:rPr>
                  </w:pPr>
                </w:p>
              </w:tc>
            </w:tr>
            <w:tr w:rsidR="008E3BA7" w:rsidRPr="00BF7956" w14:paraId="34110BCB" w14:textId="77777777" w:rsidTr="006356BE">
              <w:tc>
                <w:tcPr>
                  <w:tcW w:w="726" w:type="dxa"/>
                </w:tcPr>
                <w:p w14:paraId="31D9613D" w14:textId="1C49A9F3"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20</w:t>
                  </w:r>
                </w:p>
              </w:tc>
              <w:tc>
                <w:tcPr>
                  <w:tcW w:w="2693" w:type="dxa"/>
                </w:tcPr>
                <w:p w14:paraId="7B74348D"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Overnight</w:t>
                  </w:r>
                </w:p>
              </w:tc>
            </w:tr>
            <w:tr w:rsidR="00D60CE4" w:rsidRPr="002C43F1" w14:paraId="248B0741" w14:textId="77777777" w:rsidTr="006356BE">
              <w:tc>
                <w:tcPr>
                  <w:tcW w:w="726" w:type="dxa"/>
                </w:tcPr>
                <w:p w14:paraId="1632C56C" w14:textId="766DE890" w:rsidR="00D60CE4"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0025</w:t>
                  </w:r>
                </w:p>
              </w:tc>
              <w:tc>
                <w:tcPr>
                  <w:tcW w:w="2693" w:type="dxa"/>
                </w:tcPr>
                <w:p w14:paraId="34CC8159" w14:textId="65C2F6A7" w:rsidR="00D60CE4" w:rsidRPr="00BF7956" w:rsidRDefault="00D60CE4" w:rsidP="008E3BA7">
                  <w:pPr>
                    <w:framePr w:hSpace="180" w:wrap="around" w:vAnchor="text" w:hAnchor="margin" w:y="137"/>
                    <w:rPr>
                      <w:rFonts w:eastAsiaTheme="minorHAnsi"/>
                      <w:b/>
                      <w:bCs/>
                      <w:sz w:val="20"/>
                      <w:szCs w:val="20"/>
                      <w:lang w:val="ro-MD" w:eastAsia="en-US"/>
                    </w:rPr>
                  </w:pPr>
                  <w:r w:rsidRPr="00BF7956">
                    <w:rPr>
                      <w:b/>
                      <w:bCs/>
                      <w:sz w:val="20"/>
                      <w:szCs w:val="20"/>
                      <w:lang w:val="en-US"/>
                    </w:rPr>
                    <w:t>din care: Elemente cu scadență deschisă</w:t>
                  </w:r>
                </w:p>
              </w:tc>
            </w:tr>
            <w:tr w:rsidR="008E3BA7" w:rsidRPr="002C43F1" w14:paraId="53ED1FF7" w14:textId="77777777" w:rsidTr="006356BE">
              <w:tc>
                <w:tcPr>
                  <w:tcW w:w="726" w:type="dxa"/>
                </w:tcPr>
                <w:p w14:paraId="0CFE4D48" w14:textId="26B0DDB2"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lastRenderedPageBreak/>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30</w:t>
                  </w:r>
                </w:p>
              </w:tc>
              <w:tc>
                <w:tcPr>
                  <w:tcW w:w="2693" w:type="dxa"/>
                </w:tcPr>
                <w:p w14:paraId="12E7712A"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Perioadă mai mare decât overnight, maximum 2 zile</w:t>
                  </w:r>
                </w:p>
              </w:tc>
            </w:tr>
            <w:tr w:rsidR="008E3BA7" w:rsidRPr="00BF7956" w14:paraId="2169ED05" w14:textId="77777777" w:rsidTr="006356BE">
              <w:tc>
                <w:tcPr>
                  <w:tcW w:w="726" w:type="dxa"/>
                </w:tcPr>
                <w:p w14:paraId="4AF01A0D" w14:textId="23C8B0EF"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40</w:t>
                  </w:r>
                </w:p>
              </w:tc>
              <w:tc>
                <w:tcPr>
                  <w:tcW w:w="2693" w:type="dxa"/>
                </w:tcPr>
                <w:p w14:paraId="78243DF6"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zile, maximum 3 zile</w:t>
                  </w:r>
                </w:p>
              </w:tc>
            </w:tr>
            <w:tr w:rsidR="008E3BA7" w:rsidRPr="00BF7956" w14:paraId="0C9D6B3E" w14:textId="77777777" w:rsidTr="006356BE">
              <w:tc>
                <w:tcPr>
                  <w:tcW w:w="726" w:type="dxa"/>
                </w:tcPr>
                <w:p w14:paraId="77B6ACF5" w14:textId="5E612AAF"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50</w:t>
                  </w:r>
                </w:p>
              </w:tc>
              <w:tc>
                <w:tcPr>
                  <w:tcW w:w="2693" w:type="dxa"/>
                </w:tcPr>
                <w:p w14:paraId="36163288"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 zile, maximum 4 zile</w:t>
                  </w:r>
                </w:p>
              </w:tc>
            </w:tr>
            <w:tr w:rsidR="008E3BA7" w:rsidRPr="00BF7956" w14:paraId="7B1F7E0C" w14:textId="77777777" w:rsidTr="006356BE">
              <w:tc>
                <w:tcPr>
                  <w:tcW w:w="726" w:type="dxa"/>
                </w:tcPr>
                <w:p w14:paraId="0E27E937" w14:textId="1C665429"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60</w:t>
                  </w:r>
                </w:p>
              </w:tc>
              <w:tc>
                <w:tcPr>
                  <w:tcW w:w="2693" w:type="dxa"/>
                </w:tcPr>
                <w:p w14:paraId="2C2AA598"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4 zile, maximum 5 zile</w:t>
                  </w:r>
                </w:p>
              </w:tc>
            </w:tr>
            <w:tr w:rsidR="008E3BA7" w:rsidRPr="00BF7956" w14:paraId="0DAF07A2" w14:textId="77777777" w:rsidTr="006356BE">
              <w:tc>
                <w:tcPr>
                  <w:tcW w:w="726" w:type="dxa"/>
                </w:tcPr>
                <w:p w14:paraId="02339DA8" w14:textId="50626215"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70</w:t>
                  </w:r>
                </w:p>
              </w:tc>
              <w:tc>
                <w:tcPr>
                  <w:tcW w:w="2693" w:type="dxa"/>
                </w:tcPr>
                <w:p w14:paraId="1133DCEC"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zile, maximum 6 zile</w:t>
                  </w:r>
                </w:p>
              </w:tc>
            </w:tr>
            <w:tr w:rsidR="008E3BA7" w:rsidRPr="00BF7956" w14:paraId="14CCE647" w14:textId="77777777" w:rsidTr="006356BE">
              <w:tc>
                <w:tcPr>
                  <w:tcW w:w="726" w:type="dxa"/>
                </w:tcPr>
                <w:p w14:paraId="0EC47752" w14:textId="428BE037"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80</w:t>
                  </w:r>
                </w:p>
              </w:tc>
              <w:tc>
                <w:tcPr>
                  <w:tcW w:w="2693" w:type="dxa"/>
                </w:tcPr>
                <w:p w14:paraId="22223160"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6 zile, maximum 7 zile</w:t>
                  </w:r>
                </w:p>
              </w:tc>
            </w:tr>
            <w:tr w:rsidR="008E3BA7" w:rsidRPr="00BF7956" w14:paraId="6B9A3443" w14:textId="77777777" w:rsidTr="006356BE">
              <w:tc>
                <w:tcPr>
                  <w:tcW w:w="726" w:type="dxa"/>
                </w:tcPr>
                <w:p w14:paraId="13AAE054" w14:textId="0AE0144C" w:rsidR="008E3BA7" w:rsidRPr="00BF7956" w:rsidRDefault="008E3BA7"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90</w:t>
                  </w:r>
                </w:p>
              </w:tc>
              <w:tc>
                <w:tcPr>
                  <w:tcW w:w="2693" w:type="dxa"/>
                </w:tcPr>
                <w:p w14:paraId="1D6CA247"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7 zile, maximum 2 săptămâni</w:t>
                  </w:r>
                </w:p>
              </w:tc>
            </w:tr>
            <w:tr w:rsidR="008E3BA7" w:rsidRPr="00BF7956" w14:paraId="427F61CD" w14:textId="77777777" w:rsidTr="006356BE">
              <w:tc>
                <w:tcPr>
                  <w:tcW w:w="726" w:type="dxa"/>
                </w:tcPr>
                <w:p w14:paraId="15D3F091" w14:textId="63F37C3C"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100</w:t>
                  </w:r>
                </w:p>
              </w:tc>
              <w:tc>
                <w:tcPr>
                  <w:tcW w:w="2693" w:type="dxa"/>
                </w:tcPr>
                <w:p w14:paraId="7EC0B8D3"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săptămâni, maximum 3 săptămâni</w:t>
                  </w:r>
                </w:p>
              </w:tc>
            </w:tr>
            <w:tr w:rsidR="008E3BA7" w:rsidRPr="002C43F1" w14:paraId="2FCF70AF" w14:textId="77777777" w:rsidTr="006356BE">
              <w:tc>
                <w:tcPr>
                  <w:tcW w:w="726" w:type="dxa"/>
                </w:tcPr>
                <w:p w14:paraId="2BD7C5B9" w14:textId="5D577659"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110</w:t>
                  </w:r>
                </w:p>
              </w:tc>
              <w:tc>
                <w:tcPr>
                  <w:tcW w:w="2693" w:type="dxa"/>
                </w:tcPr>
                <w:p w14:paraId="0FC9124B"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 săptămâni, maximum 30 de zile</w:t>
                  </w:r>
                </w:p>
              </w:tc>
            </w:tr>
            <w:tr w:rsidR="008E3BA7" w:rsidRPr="00BF7956" w14:paraId="75A42E0A" w14:textId="77777777" w:rsidTr="006356BE">
              <w:tc>
                <w:tcPr>
                  <w:tcW w:w="726" w:type="dxa"/>
                </w:tcPr>
                <w:p w14:paraId="4422AE35" w14:textId="2DAC5550"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120</w:t>
                  </w:r>
                </w:p>
              </w:tc>
              <w:tc>
                <w:tcPr>
                  <w:tcW w:w="2693" w:type="dxa"/>
                </w:tcPr>
                <w:p w14:paraId="01820FC8"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30 zile, maximum 5 săptămâni</w:t>
                  </w:r>
                </w:p>
              </w:tc>
            </w:tr>
            <w:tr w:rsidR="008E3BA7" w:rsidRPr="00BF7956" w14:paraId="2DCA4B92" w14:textId="77777777" w:rsidTr="006356BE">
              <w:tc>
                <w:tcPr>
                  <w:tcW w:w="726" w:type="dxa"/>
                </w:tcPr>
                <w:p w14:paraId="3687334A" w14:textId="6E8A2C6A"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130</w:t>
                  </w:r>
                </w:p>
              </w:tc>
              <w:tc>
                <w:tcPr>
                  <w:tcW w:w="2693" w:type="dxa"/>
                </w:tcPr>
                <w:p w14:paraId="7BC7746C"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săptămâni, maximum 2 luni</w:t>
                  </w:r>
                </w:p>
              </w:tc>
            </w:tr>
            <w:tr w:rsidR="008E3BA7" w:rsidRPr="00BF7956" w14:paraId="53E04B47" w14:textId="77777777" w:rsidTr="006356BE">
              <w:tc>
                <w:tcPr>
                  <w:tcW w:w="726" w:type="dxa"/>
                </w:tcPr>
                <w:p w14:paraId="44C1EF17" w14:textId="56FB3660"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140</w:t>
                  </w:r>
                </w:p>
              </w:tc>
              <w:tc>
                <w:tcPr>
                  <w:tcW w:w="2693" w:type="dxa"/>
                </w:tcPr>
                <w:p w14:paraId="5EFE1108"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luni, maximum 3 luni</w:t>
                  </w:r>
                </w:p>
              </w:tc>
            </w:tr>
            <w:tr w:rsidR="008E3BA7" w:rsidRPr="00BF7956" w14:paraId="36D9E3C7" w14:textId="77777777" w:rsidTr="006356BE">
              <w:tc>
                <w:tcPr>
                  <w:tcW w:w="726" w:type="dxa"/>
                </w:tcPr>
                <w:p w14:paraId="5EB4C7CB" w14:textId="3DBDFC41"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150</w:t>
                  </w:r>
                </w:p>
              </w:tc>
              <w:tc>
                <w:tcPr>
                  <w:tcW w:w="2693" w:type="dxa"/>
                </w:tcPr>
                <w:p w14:paraId="5861B141"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 luni, maximum 4 luni</w:t>
                  </w:r>
                </w:p>
              </w:tc>
            </w:tr>
            <w:tr w:rsidR="008E3BA7" w:rsidRPr="00BF7956" w14:paraId="40D6800B" w14:textId="77777777" w:rsidTr="006356BE">
              <w:tc>
                <w:tcPr>
                  <w:tcW w:w="726" w:type="dxa"/>
                </w:tcPr>
                <w:p w14:paraId="600428FA" w14:textId="6784CD37"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160</w:t>
                  </w:r>
                </w:p>
              </w:tc>
              <w:tc>
                <w:tcPr>
                  <w:tcW w:w="2693" w:type="dxa"/>
                </w:tcPr>
                <w:p w14:paraId="1AA4D6F0"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4 luni, maximum 5 luni</w:t>
                  </w:r>
                </w:p>
              </w:tc>
            </w:tr>
            <w:tr w:rsidR="008E3BA7" w:rsidRPr="00BF7956" w14:paraId="5D41D642" w14:textId="77777777" w:rsidTr="006356BE">
              <w:tc>
                <w:tcPr>
                  <w:tcW w:w="726" w:type="dxa"/>
                </w:tcPr>
                <w:p w14:paraId="7FFAEB14" w14:textId="631FCE83"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170</w:t>
                  </w:r>
                </w:p>
              </w:tc>
              <w:tc>
                <w:tcPr>
                  <w:tcW w:w="2693" w:type="dxa"/>
                </w:tcPr>
                <w:p w14:paraId="58194A3C"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luni, maximum 6 luni</w:t>
                  </w:r>
                </w:p>
              </w:tc>
            </w:tr>
            <w:tr w:rsidR="008E3BA7" w:rsidRPr="00BF7956" w14:paraId="12B5E13E" w14:textId="77777777" w:rsidTr="006356BE">
              <w:tc>
                <w:tcPr>
                  <w:tcW w:w="726" w:type="dxa"/>
                </w:tcPr>
                <w:p w14:paraId="41C5827C" w14:textId="4514BB3C"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180</w:t>
                  </w:r>
                </w:p>
              </w:tc>
              <w:tc>
                <w:tcPr>
                  <w:tcW w:w="2693" w:type="dxa"/>
                </w:tcPr>
                <w:p w14:paraId="512BA716"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6 luni, maximum 9 luni</w:t>
                  </w:r>
                </w:p>
              </w:tc>
            </w:tr>
            <w:tr w:rsidR="008E3BA7" w:rsidRPr="00BF7956" w14:paraId="2CB8542B" w14:textId="77777777" w:rsidTr="006356BE">
              <w:tc>
                <w:tcPr>
                  <w:tcW w:w="726" w:type="dxa"/>
                </w:tcPr>
                <w:p w14:paraId="668ED0BA" w14:textId="6D4E16A6"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190</w:t>
                  </w:r>
                </w:p>
              </w:tc>
              <w:tc>
                <w:tcPr>
                  <w:tcW w:w="2693" w:type="dxa"/>
                </w:tcPr>
                <w:p w14:paraId="0FEA5B2C"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9 luni, maximum 12 luni</w:t>
                  </w:r>
                </w:p>
              </w:tc>
            </w:tr>
            <w:tr w:rsidR="008E3BA7" w:rsidRPr="00BF7956" w14:paraId="3EAADEDF" w14:textId="77777777" w:rsidTr="006356BE">
              <w:tc>
                <w:tcPr>
                  <w:tcW w:w="726" w:type="dxa"/>
                </w:tcPr>
                <w:p w14:paraId="3681BD67" w14:textId="5980E61A"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200</w:t>
                  </w:r>
                </w:p>
              </w:tc>
              <w:tc>
                <w:tcPr>
                  <w:tcW w:w="2693" w:type="dxa"/>
                </w:tcPr>
                <w:p w14:paraId="2A4BF2B5"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12 luni, maximum 2 ani</w:t>
                  </w:r>
                </w:p>
              </w:tc>
            </w:tr>
            <w:tr w:rsidR="008E3BA7" w:rsidRPr="00BF7956" w14:paraId="77D2B0CB" w14:textId="77777777" w:rsidTr="006356BE">
              <w:tc>
                <w:tcPr>
                  <w:tcW w:w="726" w:type="dxa"/>
                </w:tcPr>
                <w:p w14:paraId="3C34F80A" w14:textId="37D971DD"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210</w:t>
                  </w:r>
                </w:p>
              </w:tc>
              <w:tc>
                <w:tcPr>
                  <w:tcW w:w="2693" w:type="dxa"/>
                </w:tcPr>
                <w:p w14:paraId="571C681B"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ani, maximum 5 ani</w:t>
                  </w:r>
                </w:p>
              </w:tc>
            </w:tr>
            <w:tr w:rsidR="008E3BA7" w:rsidRPr="00BF7956" w14:paraId="374B785C" w14:textId="77777777" w:rsidTr="006356BE">
              <w:tc>
                <w:tcPr>
                  <w:tcW w:w="726" w:type="dxa"/>
                </w:tcPr>
                <w:p w14:paraId="68D5458B" w14:textId="6412FEF8" w:rsidR="008E3BA7" w:rsidRPr="00BF7956" w:rsidRDefault="00D60CE4" w:rsidP="008E3BA7">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220</w:t>
                  </w:r>
                </w:p>
              </w:tc>
              <w:tc>
                <w:tcPr>
                  <w:tcW w:w="2693" w:type="dxa"/>
                </w:tcPr>
                <w:p w14:paraId="58D9D19E" w14:textId="77777777" w:rsidR="008E3BA7" w:rsidRPr="00BF7956" w:rsidRDefault="008E3BA7" w:rsidP="008E3BA7">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ani</w:t>
                  </w:r>
                </w:p>
              </w:tc>
            </w:tr>
          </w:tbl>
          <w:p w14:paraId="1D72F3FA" w14:textId="77777777" w:rsidR="008E3BA7" w:rsidRPr="00BF7956" w:rsidRDefault="008E3BA7" w:rsidP="008E3BA7">
            <w:pPr>
              <w:pStyle w:val="CM4"/>
              <w:spacing w:before="60" w:after="60"/>
              <w:rPr>
                <w:sz w:val="20"/>
                <w:szCs w:val="20"/>
              </w:rPr>
            </w:pPr>
          </w:p>
        </w:tc>
        <w:tc>
          <w:tcPr>
            <w:tcW w:w="4536" w:type="dxa"/>
            <w:shd w:val="clear" w:color="auto" w:fill="auto"/>
          </w:tcPr>
          <w:tbl>
            <w:tblPr>
              <w:tblStyle w:val="TableGrid"/>
              <w:tblW w:w="0" w:type="auto"/>
              <w:tblLayout w:type="fixed"/>
              <w:tblLook w:val="04A0" w:firstRow="1" w:lastRow="0" w:firstColumn="1" w:lastColumn="0" w:noHBand="0" w:noVBand="1"/>
            </w:tblPr>
            <w:tblGrid>
              <w:gridCol w:w="687"/>
              <w:gridCol w:w="2835"/>
            </w:tblGrid>
            <w:tr w:rsidR="008E3BA7" w:rsidRPr="00BF7956" w14:paraId="04E52742" w14:textId="77777777" w:rsidTr="006356BE">
              <w:tc>
                <w:tcPr>
                  <w:tcW w:w="3522" w:type="dxa"/>
                  <w:gridSpan w:val="2"/>
                </w:tcPr>
                <w:p w14:paraId="51715C0C"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lastRenderedPageBreak/>
                    <w:t>Scadența fluxurilor contractuale</w:t>
                  </w:r>
                </w:p>
              </w:tc>
            </w:tr>
            <w:tr w:rsidR="008E3BA7" w:rsidRPr="00BF7956" w14:paraId="67AB7792" w14:textId="77777777" w:rsidTr="006356BE">
              <w:tc>
                <w:tcPr>
                  <w:tcW w:w="687" w:type="dxa"/>
                </w:tcPr>
                <w:p w14:paraId="661FBBDB" w14:textId="27DEB4B0"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10</w:t>
                  </w:r>
                </w:p>
              </w:tc>
              <w:tc>
                <w:tcPr>
                  <w:tcW w:w="2835" w:type="dxa"/>
                </w:tcPr>
                <w:p w14:paraId="6A76B931" w14:textId="77777777" w:rsidR="008E3BA7" w:rsidRPr="00BF7956" w:rsidRDefault="008E3BA7" w:rsidP="006356BE">
                  <w:pPr>
                    <w:framePr w:hSpace="180" w:wrap="around" w:vAnchor="text" w:hAnchor="margin" w:y="137"/>
                    <w:rPr>
                      <w:rFonts w:eastAsiaTheme="minorHAnsi"/>
                      <w:sz w:val="20"/>
                      <w:szCs w:val="20"/>
                      <w:lang w:val="ro-MD" w:eastAsia="en-US"/>
                    </w:rPr>
                  </w:pPr>
                </w:p>
              </w:tc>
            </w:tr>
            <w:tr w:rsidR="008E3BA7" w:rsidRPr="00BF7956" w14:paraId="77412AA0" w14:textId="77777777" w:rsidTr="006356BE">
              <w:tc>
                <w:tcPr>
                  <w:tcW w:w="687" w:type="dxa"/>
                </w:tcPr>
                <w:p w14:paraId="38171606" w14:textId="01590BD7"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20</w:t>
                  </w:r>
                </w:p>
              </w:tc>
              <w:tc>
                <w:tcPr>
                  <w:tcW w:w="2835" w:type="dxa"/>
                </w:tcPr>
                <w:p w14:paraId="68B4B2ED"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Overnight</w:t>
                  </w:r>
                </w:p>
              </w:tc>
            </w:tr>
            <w:tr w:rsidR="00D60CE4" w:rsidRPr="002C43F1" w14:paraId="76FE067A" w14:textId="77777777" w:rsidTr="006356BE">
              <w:tc>
                <w:tcPr>
                  <w:tcW w:w="687" w:type="dxa"/>
                </w:tcPr>
                <w:p w14:paraId="70E4E3FA" w14:textId="3B23514A" w:rsidR="00D60CE4"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0025</w:t>
                  </w:r>
                </w:p>
              </w:tc>
              <w:tc>
                <w:tcPr>
                  <w:tcW w:w="2835" w:type="dxa"/>
                </w:tcPr>
                <w:p w14:paraId="180AF24C" w14:textId="41E3E612" w:rsidR="00D60CE4" w:rsidRPr="00BF7956" w:rsidRDefault="00D60CE4" w:rsidP="006356BE">
                  <w:pPr>
                    <w:framePr w:hSpace="180" w:wrap="around" w:vAnchor="text" w:hAnchor="margin" w:y="137"/>
                    <w:rPr>
                      <w:rFonts w:eastAsiaTheme="minorHAnsi"/>
                      <w:b/>
                      <w:bCs/>
                      <w:sz w:val="20"/>
                      <w:szCs w:val="20"/>
                      <w:lang w:val="ro-MD" w:eastAsia="en-US"/>
                    </w:rPr>
                  </w:pPr>
                  <w:r w:rsidRPr="00BF7956">
                    <w:rPr>
                      <w:b/>
                      <w:bCs/>
                      <w:sz w:val="20"/>
                      <w:szCs w:val="20"/>
                      <w:lang w:val="en-US"/>
                    </w:rPr>
                    <w:t>din care: Elemente cu scadență deschisă</w:t>
                  </w:r>
                </w:p>
              </w:tc>
            </w:tr>
            <w:tr w:rsidR="008E3BA7" w:rsidRPr="002C43F1" w14:paraId="3A7DD10A" w14:textId="77777777" w:rsidTr="006356BE">
              <w:tc>
                <w:tcPr>
                  <w:tcW w:w="687" w:type="dxa"/>
                </w:tcPr>
                <w:p w14:paraId="1A0D37FC" w14:textId="2DD33A32"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lastRenderedPageBreak/>
                    <w:t>0</w:t>
                  </w:r>
                  <w:r w:rsidR="008E3BA7" w:rsidRPr="00BF7956">
                    <w:rPr>
                      <w:rFonts w:eastAsiaTheme="minorHAnsi"/>
                      <w:b/>
                      <w:bCs/>
                      <w:sz w:val="20"/>
                      <w:szCs w:val="20"/>
                      <w:lang w:val="ro-MD" w:eastAsia="en-US"/>
                    </w:rPr>
                    <w:t>030</w:t>
                  </w:r>
                </w:p>
              </w:tc>
              <w:tc>
                <w:tcPr>
                  <w:tcW w:w="2835" w:type="dxa"/>
                </w:tcPr>
                <w:p w14:paraId="08297BC4"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Perioadă mai mare decât overnight, maximum 2 zile</w:t>
                  </w:r>
                </w:p>
              </w:tc>
            </w:tr>
            <w:tr w:rsidR="008E3BA7" w:rsidRPr="00BF7956" w14:paraId="28782D91" w14:textId="77777777" w:rsidTr="006356BE">
              <w:tc>
                <w:tcPr>
                  <w:tcW w:w="687" w:type="dxa"/>
                </w:tcPr>
                <w:p w14:paraId="07C94760" w14:textId="43D13617"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40</w:t>
                  </w:r>
                </w:p>
              </w:tc>
              <w:tc>
                <w:tcPr>
                  <w:tcW w:w="2835" w:type="dxa"/>
                </w:tcPr>
                <w:p w14:paraId="4FC3E014"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zile, maximum 3 zile</w:t>
                  </w:r>
                </w:p>
              </w:tc>
            </w:tr>
            <w:tr w:rsidR="008E3BA7" w:rsidRPr="00BF7956" w14:paraId="667C31E6" w14:textId="77777777" w:rsidTr="006356BE">
              <w:tc>
                <w:tcPr>
                  <w:tcW w:w="687" w:type="dxa"/>
                </w:tcPr>
                <w:p w14:paraId="2578E666" w14:textId="750C73F3"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50</w:t>
                  </w:r>
                </w:p>
              </w:tc>
              <w:tc>
                <w:tcPr>
                  <w:tcW w:w="2835" w:type="dxa"/>
                </w:tcPr>
                <w:p w14:paraId="2A2B9EEA"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 zile, maximum 4 zile</w:t>
                  </w:r>
                </w:p>
              </w:tc>
            </w:tr>
            <w:tr w:rsidR="008E3BA7" w:rsidRPr="00BF7956" w14:paraId="7281F418" w14:textId="77777777" w:rsidTr="006356BE">
              <w:tc>
                <w:tcPr>
                  <w:tcW w:w="687" w:type="dxa"/>
                </w:tcPr>
                <w:p w14:paraId="45933BEA" w14:textId="3712DEF5"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60</w:t>
                  </w:r>
                </w:p>
              </w:tc>
              <w:tc>
                <w:tcPr>
                  <w:tcW w:w="2835" w:type="dxa"/>
                </w:tcPr>
                <w:p w14:paraId="3C6E6769"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4 zile, maximum 5 zile</w:t>
                  </w:r>
                </w:p>
              </w:tc>
            </w:tr>
            <w:tr w:rsidR="008E3BA7" w:rsidRPr="00BF7956" w14:paraId="0BEFFD77" w14:textId="77777777" w:rsidTr="006356BE">
              <w:tc>
                <w:tcPr>
                  <w:tcW w:w="687" w:type="dxa"/>
                </w:tcPr>
                <w:p w14:paraId="7E7E2B76" w14:textId="0D517365"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70</w:t>
                  </w:r>
                </w:p>
              </w:tc>
              <w:tc>
                <w:tcPr>
                  <w:tcW w:w="2835" w:type="dxa"/>
                </w:tcPr>
                <w:p w14:paraId="495639B0"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zile, maximum 6 zile</w:t>
                  </w:r>
                </w:p>
              </w:tc>
            </w:tr>
            <w:tr w:rsidR="008E3BA7" w:rsidRPr="00BF7956" w14:paraId="2CDAC53B" w14:textId="77777777" w:rsidTr="006356BE">
              <w:tc>
                <w:tcPr>
                  <w:tcW w:w="687" w:type="dxa"/>
                </w:tcPr>
                <w:p w14:paraId="10DB809F" w14:textId="520635C5"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80</w:t>
                  </w:r>
                </w:p>
              </w:tc>
              <w:tc>
                <w:tcPr>
                  <w:tcW w:w="2835" w:type="dxa"/>
                </w:tcPr>
                <w:p w14:paraId="4FE204B0"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6 zile, maximum 7 zile</w:t>
                  </w:r>
                </w:p>
              </w:tc>
            </w:tr>
            <w:tr w:rsidR="008E3BA7" w:rsidRPr="00BF7956" w14:paraId="258927F4" w14:textId="77777777" w:rsidTr="006356BE">
              <w:tc>
                <w:tcPr>
                  <w:tcW w:w="687" w:type="dxa"/>
                </w:tcPr>
                <w:p w14:paraId="5FCD347C" w14:textId="5AF19763" w:rsidR="008E3BA7" w:rsidRPr="00BF7956" w:rsidRDefault="008E3BA7"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D60CE4" w:rsidRPr="00BF7956">
                    <w:rPr>
                      <w:rFonts w:eastAsiaTheme="minorHAnsi"/>
                      <w:b/>
                      <w:bCs/>
                      <w:sz w:val="20"/>
                      <w:szCs w:val="20"/>
                      <w:lang w:val="ro-MD" w:eastAsia="en-US"/>
                    </w:rPr>
                    <w:t>0</w:t>
                  </w:r>
                  <w:r w:rsidRPr="00BF7956">
                    <w:rPr>
                      <w:rFonts w:eastAsiaTheme="minorHAnsi"/>
                      <w:b/>
                      <w:bCs/>
                      <w:sz w:val="20"/>
                      <w:szCs w:val="20"/>
                      <w:lang w:val="ro-MD" w:eastAsia="en-US"/>
                    </w:rPr>
                    <w:t>90</w:t>
                  </w:r>
                </w:p>
              </w:tc>
              <w:tc>
                <w:tcPr>
                  <w:tcW w:w="2835" w:type="dxa"/>
                </w:tcPr>
                <w:p w14:paraId="5E6360E5"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7 zile, maximum 2 săptămâni</w:t>
                  </w:r>
                </w:p>
              </w:tc>
            </w:tr>
            <w:tr w:rsidR="008E3BA7" w:rsidRPr="00BF7956" w14:paraId="1321A107" w14:textId="77777777" w:rsidTr="006356BE">
              <w:tc>
                <w:tcPr>
                  <w:tcW w:w="687" w:type="dxa"/>
                </w:tcPr>
                <w:p w14:paraId="19CE91A9" w14:textId="1EF5E066"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100</w:t>
                  </w:r>
                </w:p>
              </w:tc>
              <w:tc>
                <w:tcPr>
                  <w:tcW w:w="2835" w:type="dxa"/>
                </w:tcPr>
                <w:p w14:paraId="24B6C7F4"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săptămâni, maximum 3 săptămâni</w:t>
                  </w:r>
                </w:p>
              </w:tc>
            </w:tr>
            <w:tr w:rsidR="008E3BA7" w:rsidRPr="002C43F1" w14:paraId="5F9D57A5" w14:textId="77777777" w:rsidTr="006356BE">
              <w:tc>
                <w:tcPr>
                  <w:tcW w:w="687" w:type="dxa"/>
                </w:tcPr>
                <w:p w14:paraId="0C2B44AA" w14:textId="4BBF09A5"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110</w:t>
                  </w:r>
                </w:p>
              </w:tc>
              <w:tc>
                <w:tcPr>
                  <w:tcW w:w="2835" w:type="dxa"/>
                </w:tcPr>
                <w:p w14:paraId="72F5ED4B"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 săptămâni, maximum 30 de zile</w:t>
                  </w:r>
                </w:p>
              </w:tc>
            </w:tr>
            <w:tr w:rsidR="008E3BA7" w:rsidRPr="00BF7956" w14:paraId="679E30FB" w14:textId="77777777" w:rsidTr="006356BE">
              <w:tc>
                <w:tcPr>
                  <w:tcW w:w="687" w:type="dxa"/>
                </w:tcPr>
                <w:p w14:paraId="32384975" w14:textId="0A4172A0"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120</w:t>
                  </w:r>
                </w:p>
              </w:tc>
              <w:tc>
                <w:tcPr>
                  <w:tcW w:w="2835" w:type="dxa"/>
                </w:tcPr>
                <w:p w14:paraId="3466D24A"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30 zile, maximum 5 săptămâni</w:t>
                  </w:r>
                </w:p>
              </w:tc>
            </w:tr>
            <w:tr w:rsidR="008E3BA7" w:rsidRPr="00BF7956" w14:paraId="5FDF2EDA" w14:textId="77777777" w:rsidTr="006356BE">
              <w:tc>
                <w:tcPr>
                  <w:tcW w:w="687" w:type="dxa"/>
                </w:tcPr>
                <w:p w14:paraId="3AC9EDB1" w14:textId="687DED29"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130</w:t>
                  </w:r>
                </w:p>
              </w:tc>
              <w:tc>
                <w:tcPr>
                  <w:tcW w:w="2835" w:type="dxa"/>
                </w:tcPr>
                <w:p w14:paraId="6FB07757"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săptămâni, maximum 2 luni</w:t>
                  </w:r>
                </w:p>
              </w:tc>
            </w:tr>
            <w:tr w:rsidR="008E3BA7" w:rsidRPr="00BF7956" w14:paraId="241D5404" w14:textId="77777777" w:rsidTr="006356BE">
              <w:tc>
                <w:tcPr>
                  <w:tcW w:w="687" w:type="dxa"/>
                </w:tcPr>
                <w:p w14:paraId="101550EB" w14:textId="1BB8D266"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140</w:t>
                  </w:r>
                </w:p>
              </w:tc>
              <w:tc>
                <w:tcPr>
                  <w:tcW w:w="2835" w:type="dxa"/>
                </w:tcPr>
                <w:p w14:paraId="1CCDF42E"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luni, maximum 3 luni</w:t>
                  </w:r>
                </w:p>
              </w:tc>
            </w:tr>
            <w:tr w:rsidR="008E3BA7" w:rsidRPr="00BF7956" w14:paraId="56208904" w14:textId="77777777" w:rsidTr="006356BE">
              <w:tc>
                <w:tcPr>
                  <w:tcW w:w="687" w:type="dxa"/>
                </w:tcPr>
                <w:p w14:paraId="142CE5FD" w14:textId="50F8662A"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150</w:t>
                  </w:r>
                </w:p>
              </w:tc>
              <w:tc>
                <w:tcPr>
                  <w:tcW w:w="2835" w:type="dxa"/>
                </w:tcPr>
                <w:p w14:paraId="197FC7CB"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3 luni, maximum 4 luni</w:t>
                  </w:r>
                </w:p>
              </w:tc>
            </w:tr>
            <w:tr w:rsidR="008E3BA7" w:rsidRPr="00BF7956" w14:paraId="5C4B9A0D" w14:textId="77777777" w:rsidTr="006356BE">
              <w:tc>
                <w:tcPr>
                  <w:tcW w:w="687" w:type="dxa"/>
                </w:tcPr>
                <w:p w14:paraId="3935493A" w14:textId="27D74B42"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160</w:t>
                  </w:r>
                </w:p>
              </w:tc>
              <w:tc>
                <w:tcPr>
                  <w:tcW w:w="2835" w:type="dxa"/>
                </w:tcPr>
                <w:p w14:paraId="4C4709B1"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4 luni, maximum 5 luni</w:t>
                  </w:r>
                </w:p>
              </w:tc>
            </w:tr>
            <w:tr w:rsidR="008E3BA7" w:rsidRPr="00BF7956" w14:paraId="2139374C" w14:textId="77777777" w:rsidTr="006356BE">
              <w:tc>
                <w:tcPr>
                  <w:tcW w:w="687" w:type="dxa"/>
                </w:tcPr>
                <w:p w14:paraId="5B61BAE4" w14:textId="4FBCE0B2"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170</w:t>
                  </w:r>
                </w:p>
              </w:tc>
              <w:tc>
                <w:tcPr>
                  <w:tcW w:w="2835" w:type="dxa"/>
                </w:tcPr>
                <w:p w14:paraId="4F4B9252"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luni, maximum 6 luni</w:t>
                  </w:r>
                </w:p>
              </w:tc>
            </w:tr>
            <w:tr w:rsidR="008E3BA7" w:rsidRPr="00BF7956" w14:paraId="791851E6" w14:textId="77777777" w:rsidTr="006356BE">
              <w:tc>
                <w:tcPr>
                  <w:tcW w:w="687" w:type="dxa"/>
                </w:tcPr>
                <w:p w14:paraId="2B0B1A7B" w14:textId="7E92A7D5"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180</w:t>
                  </w:r>
                </w:p>
              </w:tc>
              <w:tc>
                <w:tcPr>
                  <w:tcW w:w="2835" w:type="dxa"/>
                </w:tcPr>
                <w:p w14:paraId="6403992D"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6 luni, maximum 9 luni</w:t>
                  </w:r>
                </w:p>
              </w:tc>
            </w:tr>
            <w:tr w:rsidR="008E3BA7" w:rsidRPr="00BF7956" w14:paraId="659520E4" w14:textId="77777777" w:rsidTr="006356BE">
              <w:tc>
                <w:tcPr>
                  <w:tcW w:w="687" w:type="dxa"/>
                </w:tcPr>
                <w:p w14:paraId="350ADCBE" w14:textId="43C0D2AA"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190</w:t>
                  </w:r>
                </w:p>
              </w:tc>
              <w:tc>
                <w:tcPr>
                  <w:tcW w:w="2835" w:type="dxa"/>
                </w:tcPr>
                <w:p w14:paraId="7CC325FC"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9 luni, maximum 12 luni</w:t>
                  </w:r>
                </w:p>
              </w:tc>
            </w:tr>
            <w:tr w:rsidR="008E3BA7" w:rsidRPr="00BF7956" w14:paraId="501B1166" w14:textId="77777777" w:rsidTr="006356BE">
              <w:tc>
                <w:tcPr>
                  <w:tcW w:w="687" w:type="dxa"/>
                </w:tcPr>
                <w:p w14:paraId="251BBDD8" w14:textId="58AD2010"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200</w:t>
                  </w:r>
                </w:p>
              </w:tc>
              <w:tc>
                <w:tcPr>
                  <w:tcW w:w="2835" w:type="dxa"/>
                </w:tcPr>
                <w:p w14:paraId="344EDA57"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12 luni, maximum 2 ani</w:t>
                  </w:r>
                </w:p>
              </w:tc>
            </w:tr>
            <w:tr w:rsidR="008E3BA7" w:rsidRPr="00BF7956" w14:paraId="6252CBE0" w14:textId="77777777" w:rsidTr="006356BE">
              <w:tc>
                <w:tcPr>
                  <w:tcW w:w="687" w:type="dxa"/>
                </w:tcPr>
                <w:p w14:paraId="39774F12" w14:textId="04099CA7"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210</w:t>
                  </w:r>
                </w:p>
              </w:tc>
              <w:tc>
                <w:tcPr>
                  <w:tcW w:w="2835" w:type="dxa"/>
                </w:tcPr>
                <w:p w14:paraId="31213749"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2 ani, maximum 5 ani</w:t>
                  </w:r>
                </w:p>
              </w:tc>
            </w:tr>
            <w:tr w:rsidR="008E3BA7" w:rsidRPr="00BF7956" w14:paraId="05BE380B" w14:textId="77777777" w:rsidTr="006356BE">
              <w:tc>
                <w:tcPr>
                  <w:tcW w:w="687" w:type="dxa"/>
                </w:tcPr>
                <w:p w14:paraId="1D6440D8" w14:textId="7E1394AC" w:rsidR="008E3BA7" w:rsidRPr="00BF7956" w:rsidRDefault="00D60CE4" w:rsidP="006356BE">
                  <w:pPr>
                    <w:framePr w:hSpace="180" w:wrap="around" w:vAnchor="text" w:hAnchor="margin" w:y="137"/>
                    <w:rPr>
                      <w:rFonts w:eastAsiaTheme="minorHAnsi"/>
                      <w:b/>
                      <w:bCs/>
                      <w:sz w:val="20"/>
                      <w:szCs w:val="20"/>
                      <w:lang w:val="ro-MD" w:eastAsia="en-US"/>
                    </w:rPr>
                  </w:pPr>
                  <w:r w:rsidRPr="00BF7956">
                    <w:rPr>
                      <w:rFonts w:eastAsiaTheme="minorHAnsi"/>
                      <w:b/>
                      <w:bCs/>
                      <w:sz w:val="20"/>
                      <w:szCs w:val="20"/>
                      <w:lang w:val="ro-MD" w:eastAsia="en-US"/>
                    </w:rPr>
                    <w:t>0</w:t>
                  </w:r>
                  <w:r w:rsidR="008E3BA7" w:rsidRPr="00BF7956">
                    <w:rPr>
                      <w:rFonts w:eastAsiaTheme="minorHAnsi"/>
                      <w:b/>
                      <w:bCs/>
                      <w:sz w:val="20"/>
                      <w:szCs w:val="20"/>
                      <w:lang w:val="ro-MD" w:eastAsia="en-US"/>
                    </w:rPr>
                    <w:t>220</w:t>
                  </w:r>
                </w:p>
              </w:tc>
              <w:tc>
                <w:tcPr>
                  <w:tcW w:w="2835" w:type="dxa"/>
                </w:tcPr>
                <w:p w14:paraId="2A186A99" w14:textId="77777777" w:rsidR="008E3BA7" w:rsidRPr="00BF7956" w:rsidRDefault="008E3BA7" w:rsidP="006356BE">
                  <w:pPr>
                    <w:framePr w:hSpace="180" w:wrap="around" w:vAnchor="text" w:hAnchor="margin" w:y="137"/>
                    <w:rPr>
                      <w:rFonts w:eastAsiaTheme="minorHAnsi"/>
                      <w:sz w:val="20"/>
                      <w:szCs w:val="20"/>
                      <w:lang w:val="ro-MD" w:eastAsia="en-US"/>
                    </w:rPr>
                  </w:pPr>
                  <w:r w:rsidRPr="00BF7956">
                    <w:rPr>
                      <w:rFonts w:eastAsiaTheme="minorHAnsi"/>
                      <w:b/>
                      <w:bCs/>
                      <w:sz w:val="20"/>
                      <w:szCs w:val="20"/>
                      <w:lang w:val="ro-MD" w:eastAsia="en-US"/>
                    </w:rPr>
                    <w:t>Peste 5 ani</w:t>
                  </w:r>
                </w:p>
              </w:tc>
            </w:tr>
          </w:tbl>
          <w:p w14:paraId="5E067FE8" w14:textId="77777777" w:rsidR="008E3BA7" w:rsidRPr="00BF7956" w:rsidRDefault="008E3BA7" w:rsidP="008E3BA7">
            <w:pPr>
              <w:pStyle w:val="CM4"/>
              <w:spacing w:before="60" w:after="60"/>
              <w:rPr>
                <w:sz w:val="20"/>
                <w:szCs w:val="20"/>
              </w:rPr>
            </w:pPr>
          </w:p>
        </w:tc>
        <w:tc>
          <w:tcPr>
            <w:tcW w:w="1418" w:type="dxa"/>
          </w:tcPr>
          <w:p w14:paraId="3A65C910" w14:textId="6807EFA1" w:rsidR="008E3BA7" w:rsidRPr="00BF7956" w:rsidRDefault="008E3BA7" w:rsidP="008E3BA7">
            <w:pPr>
              <w:rPr>
                <w:bCs/>
                <w:sz w:val="20"/>
                <w:szCs w:val="20"/>
                <w:lang w:val="ro-RO"/>
              </w:rPr>
            </w:pPr>
            <w:r w:rsidRPr="00BF7956">
              <w:rPr>
                <w:bCs/>
                <w:sz w:val="20"/>
                <w:szCs w:val="20"/>
                <w:lang w:val="ro-RO"/>
              </w:rPr>
              <w:lastRenderedPageBreak/>
              <w:t>Compatibil</w:t>
            </w:r>
          </w:p>
        </w:tc>
        <w:tc>
          <w:tcPr>
            <w:tcW w:w="2223" w:type="dxa"/>
          </w:tcPr>
          <w:p w14:paraId="6DDF463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995E9A0" w14:textId="77777777" w:rsidR="008E3BA7" w:rsidRPr="00BF7956" w:rsidRDefault="008E3BA7" w:rsidP="008E3BA7">
            <w:pPr>
              <w:jc w:val="both"/>
              <w:rPr>
                <w:sz w:val="20"/>
                <w:szCs w:val="20"/>
                <w:lang w:val="ro-RO"/>
              </w:rPr>
            </w:pPr>
          </w:p>
        </w:tc>
        <w:tc>
          <w:tcPr>
            <w:tcW w:w="992" w:type="dxa"/>
          </w:tcPr>
          <w:p w14:paraId="77306EC5" w14:textId="77777777" w:rsidR="008E3BA7" w:rsidRPr="00BF7956" w:rsidRDefault="008E3BA7" w:rsidP="008E3BA7">
            <w:pPr>
              <w:jc w:val="both"/>
              <w:rPr>
                <w:sz w:val="20"/>
                <w:szCs w:val="20"/>
                <w:lang w:val="ro-RO"/>
              </w:rPr>
            </w:pPr>
          </w:p>
        </w:tc>
      </w:tr>
      <w:tr w:rsidR="008E3BA7" w:rsidRPr="00BF7956" w14:paraId="75641943" w14:textId="77777777" w:rsidTr="00C25F84">
        <w:tc>
          <w:tcPr>
            <w:tcW w:w="4576" w:type="dxa"/>
          </w:tcPr>
          <w:p w14:paraId="4A296CAB" w14:textId="77777777" w:rsidR="008E3BA7" w:rsidRPr="00BF7956" w:rsidRDefault="008E3BA7" w:rsidP="008E3BA7">
            <w:pPr>
              <w:pStyle w:val="CM4"/>
              <w:spacing w:before="60" w:after="60"/>
              <w:rPr>
                <w:color w:val="000000"/>
                <w:sz w:val="20"/>
                <w:szCs w:val="20"/>
              </w:rPr>
            </w:pPr>
            <w:r w:rsidRPr="00BF7956">
              <w:rPr>
                <w:i/>
                <w:iCs/>
                <w:color w:val="000000"/>
                <w:sz w:val="20"/>
                <w:szCs w:val="20"/>
              </w:rPr>
              <w:t xml:space="preserve">ANEXA XXIII </w:t>
            </w:r>
          </w:p>
          <w:p w14:paraId="14AD2B26" w14:textId="0FBA2160" w:rsidR="008E3BA7" w:rsidRPr="00BF7956" w:rsidRDefault="008E3BA7" w:rsidP="008E3BA7">
            <w:pPr>
              <w:pStyle w:val="CM4"/>
              <w:spacing w:before="60" w:after="60"/>
              <w:rPr>
                <w:b/>
                <w:bCs/>
                <w:color w:val="000000"/>
                <w:sz w:val="20"/>
                <w:szCs w:val="20"/>
              </w:rPr>
            </w:pPr>
            <w:r w:rsidRPr="00BF7956">
              <w:rPr>
                <w:b/>
                <w:bCs/>
                <w:color w:val="000000"/>
                <w:sz w:val="20"/>
                <w:szCs w:val="20"/>
              </w:rPr>
              <w:t>INSTRUCŢIUNI PENTRU RAPORTAREA PRIVIND BENZILE DE SCADENŢĂ</w:t>
            </w:r>
          </w:p>
          <w:p w14:paraId="08214589" w14:textId="172E911C" w:rsidR="008E3BA7" w:rsidRPr="00BF7956" w:rsidRDefault="008E3BA7" w:rsidP="008E3BA7">
            <w:pPr>
              <w:rPr>
                <w:color w:val="000000"/>
                <w:sz w:val="20"/>
                <w:szCs w:val="20"/>
                <w:lang w:val="it-IT"/>
              </w:rPr>
            </w:pPr>
            <w:r w:rsidRPr="00BF7956">
              <w:rPr>
                <w:b/>
                <w:bCs/>
                <w:color w:val="000000"/>
                <w:sz w:val="20"/>
                <w:szCs w:val="20"/>
                <w:lang w:val="it-IT"/>
              </w:rPr>
              <w:t>PARTEA I: INSTRUCŢIUNI GENERALE</w:t>
            </w:r>
          </w:p>
          <w:p w14:paraId="303C0A1F" w14:textId="6DDFEBD1" w:rsidR="008E3BA7" w:rsidRPr="00BF7956" w:rsidRDefault="008E3BA7" w:rsidP="008E3BA7">
            <w:pPr>
              <w:rPr>
                <w:color w:val="000000"/>
                <w:sz w:val="20"/>
                <w:szCs w:val="20"/>
                <w:lang w:val="it-IT"/>
              </w:rPr>
            </w:pPr>
            <w:r w:rsidRPr="00BF7956">
              <w:rPr>
                <w:b/>
                <w:bCs/>
                <w:color w:val="000000"/>
                <w:sz w:val="20"/>
                <w:szCs w:val="20"/>
                <w:lang w:val="it-IT"/>
              </w:rPr>
              <w:t>PARTEA II: INSTRUCŢIUNI PENTRU ANUMITE RÂNDURI</w:t>
            </w:r>
          </w:p>
          <w:p w14:paraId="0A5D1F88" w14:textId="77777777" w:rsidR="008E3BA7" w:rsidRPr="00BF7956" w:rsidRDefault="008E3BA7" w:rsidP="008E3BA7">
            <w:pPr>
              <w:pStyle w:val="CM3"/>
              <w:spacing w:before="60" w:after="60"/>
              <w:rPr>
                <w:color w:val="000000"/>
                <w:sz w:val="20"/>
                <w:szCs w:val="20"/>
              </w:rPr>
            </w:pPr>
          </w:p>
          <w:p w14:paraId="318F56D6" w14:textId="77777777" w:rsidR="008E3BA7" w:rsidRPr="00BF7956" w:rsidRDefault="008E3BA7" w:rsidP="008E3BA7">
            <w:pPr>
              <w:pStyle w:val="CM4"/>
              <w:spacing w:before="60" w:after="60"/>
              <w:rPr>
                <w:color w:val="000000"/>
                <w:sz w:val="20"/>
                <w:szCs w:val="20"/>
              </w:rPr>
            </w:pPr>
            <w:r w:rsidRPr="00BF7956">
              <w:rPr>
                <w:b/>
                <w:bCs/>
                <w:color w:val="000000"/>
                <w:sz w:val="20"/>
                <w:szCs w:val="20"/>
              </w:rPr>
              <w:t xml:space="preserve">PARTEA I: INSTRUCŢIUNI GENERALE </w:t>
            </w:r>
          </w:p>
          <w:p w14:paraId="6B177F62" w14:textId="63030C95" w:rsidR="008E3BA7" w:rsidRPr="00BF7956" w:rsidRDefault="008E3BA7" w:rsidP="008E3BA7">
            <w:pPr>
              <w:rPr>
                <w:sz w:val="20"/>
                <w:szCs w:val="20"/>
                <w:lang w:val="ro-MD" w:eastAsia="en-US"/>
              </w:rPr>
            </w:pPr>
            <w:r w:rsidRPr="00BF7956">
              <w:rPr>
                <w:color w:val="000000"/>
                <w:sz w:val="20"/>
                <w:szCs w:val="20"/>
                <w:lang w:val="ro-MD"/>
              </w:rPr>
              <w:lastRenderedPageBreak/>
              <w:t>1. Pentru a reflecta neconcordanţa de scadenţe a activităţilor unei instituţii („benzile de scadenţă”) în formularul din anexa XXII, instituţiile aplică instrucţiunile prevăzute în prezenta anexă.</w:t>
            </w:r>
          </w:p>
        </w:tc>
        <w:tc>
          <w:tcPr>
            <w:tcW w:w="4536" w:type="dxa"/>
            <w:shd w:val="clear" w:color="auto" w:fill="auto"/>
          </w:tcPr>
          <w:p w14:paraId="31280AEC" w14:textId="77777777" w:rsidR="008E3BA7" w:rsidRPr="00BF7956" w:rsidRDefault="008E3BA7" w:rsidP="008E3BA7">
            <w:pPr>
              <w:jc w:val="right"/>
              <w:rPr>
                <w:sz w:val="20"/>
                <w:szCs w:val="20"/>
                <w:vertAlign w:val="superscript"/>
                <w:lang w:val="it-IT" w:eastAsia="ro-MD"/>
              </w:rPr>
            </w:pPr>
            <w:r w:rsidRPr="00BF7956">
              <w:rPr>
                <w:sz w:val="20"/>
                <w:szCs w:val="20"/>
                <w:lang w:val="it-IT" w:eastAsia="ro-MD"/>
              </w:rPr>
              <w:lastRenderedPageBreak/>
              <w:t>Anexa 11</w:t>
            </w:r>
            <w:r w:rsidRPr="00BF7956">
              <w:rPr>
                <w:sz w:val="20"/>
                <w:szCs w:val="20"/>
                <w:vertAlign w:val="superscript"/>
                <w:lang w:val="it-IT" w:eastAsia="ro-MD"/>
              </w:rPr>
              <w:t>1</w:t>
            </w:r>
          </w:p>
          <w:p w14:paraId="6837CF3B" w14:textId="77777777" w:rsidR="008E3BA7" w:rsidRPr="00BF7956" w:rsidRDefault="008E3BA7" w:rsidP="008E3BA7">
            <w:pPr>
              <w:jc w:val="right"/>
              <w:rPr>
                <w:sz w:val="20"/>
                <w:szCs w:val="20"/>
                <w:lang w:val="it-IT" w:eastAsia="ro-MD"/>
              </w:rPr>
            </w:pPr>
            <w:r w:rsidRPr="00BF7956">
              <w:rPr>
                <w:sz w:val="20"/>
                <w:szCs w:val="20"/>
                <w:lang w:val="it-IT" w:eastAsia="ro-MD"/>
              </w:rPr>
              <w:t>la Instrucţiunea cu privire la prezentarea</w:t>
            </w:r>
          </w:p>
          <w:p w14:paraId="4015FFEC" w14:textId="77777777" w:rsidR="008E3BA7" w:rsidRPr="00BF7956" w:rsidRDefault="008E3BA7" w:rsidP="008E3BA7">
            <w:pPr>
              <w:jc w:val="right"/>
              <w:rPr>
                <w:sz w:val="20"/>
                <w:szCs w:val="20"/>
                <w:lang w:val="it-IT" w:eastAsia="ro-MD"/>
              </w:rPr>
            </w:pPr>
            <w:r w:rsidRPr="00BF7956">
              <w:rPr>
                <w:sz w:val="20"/>
                <w:szCs w:val="20"/>
                <w:lang w:val="it-IT" w:eastAsia="ro-MD"/>
              </w:rPr>
              <w:t>de către bănci a rapoartelor COREP</w:t>
            </w:r>
          </w:p>
          <w:p w14:paraId="2707D362" w14:textId="77777777" w:rsidR="008E3BA7" w:rsidRPr="00BF7956" w:rsidRDefault="008E3BA7" w:rsidP="008E3BA7">
            <w:pPr>
              <w:jc w:val="right"/>
              <w:rPr>
                <w:sz w:val="20"/>
                <w:szCs w:val="20"/>
                <w:lang w:val="it-IT" w:eastAsia="ro-MD"/>
              </w:rPr>
            </w:pPr>
            <w:r w:rsidRPr="00BF7956">
              <w:rPr>
                <w:sz w:val="20"/>
                <w:szCs w:val="20"/>
                <w:lang w:val="it-IT" w:eastAsia="ro-MD"/>
              </w:rPr>
              <w:t>în scopuri de supraveghere</w:t>
            </w:r>
          </w:p>
          <w:p w14:paraId="3D9C1072" w14:textId="77777777" w:rsidR="008E3BA7" w:rsidRPr="00BF7956" w:rsidRDefault="008E3BA7" w:rsidP="008E3BA7">
            <w:pPr>
              <w:shd w:val="clear" w:color="auto" w:fill="FFFFFF"/>
              <w:spacing w:after="120"/>
              <w:jc w:val="center"/>
              <w:rPr>
                <w:rFonts w:eastAsia="Calibri"/>
                <w:b/>
                <w:sz w:val="20"/>
                <w:szCs w:val="20"/>
                <w:lang w:val="it-IT"/>
              </w:rPr>
            </w:pPr>
          </w:p>
          <w:p w14:paraId="5FA2FBC9" w14:textId="71CF6D2B" w:rsidR="008E3BA7" w:rsidRPr="00BF7956" w:rsidRDefault="008E3BA7" w:rsidP="008E3BA7">
            <w:pPr>
              <w:shd w:val="clear" w:color="auto" w:fill="FFFFFF"/>
              <w:spacing w:after="120"/>
              <w:jc w:val="center"/>
              <w:rPr>
                <w:sz w:val="20"/>
                <w:szCs w:val="20"/>
                <w:lang w:val="it-IT" w:eastAsia="ro-MD"/>
              </w:rPr>
            </w:pPr>
            <w:r w:rsidRPr="00BF7956">
              <w:rPr>
                <w:rFonts w:eastAsia="Calibri"/>
                <w:b/>
                <w:sz w:val="20"/>
                <w:szCs w:val="20"/>
                <w:lang w:val="it-IT"/>
              </w:rPr>
              <w:t xml:space="preserve">CAPITOLUL I. PREZENTAREA GENERALĂ A </w:t>
            </w:r>
            <w:r w:rsidRPr="00BF7956">
              <w:rPr>
                <w:b/>
                <w:bCs/>
                <w:sz w:val="20"/>
                <w:szCs w:val="20"/>
                <w:lang w:val="it-IT" w:eastAsia="ro-MD"/>
              </w:rPr>
              <w:t>RAPORTĂRII PRIVIND BENZILE DE SCADENȚĂ</w:t>
            </w:r>
          </w:p>
          <w:p w14:paraId="0AA24516" w14:textId="77777777"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Pr="00BF7956">
              <w:rPr>
                <w:color w:val="333333"/>
                <w:sz w:val="20"/>
                <w:szCs w:val="20"/>
                <w:lang w:val="it-IT" w:eastAsia="ro-MD"/>
              </w:rPr>
              <w:t xml:space="preserve"> Pentru a reflecta neconcordanța de scadențe a activităților unei bănci („benzile de scadență”) în </w:t>
            </w:r>
            <w:r w:rsidRPr="00BF7956">
              <w:rPr>
                <w:color w:val="333333"/>
                <w:sz w:val="20"/>
                <w:szCs w:val="20"/>
                <w:lang w:val="it-IT" w:eastAsia="ro-MD"/>
              </w:rPr>
              <w:lastRenderedPageBreak/>
              <w:t>formularul din anexa 11</w:t>
            </w:r>
            <w:r w:rsidRPr="00BF7956">
              <w:rPr>
                <w:color w:val="333333"/>
                <w:sz w:val="20"/>
                <w:szCs w:val="20"/>
                <w:vertAlign w:val="superscript"/>
                <w:lang w:val="it-IT" w:eastAsia="ro-MD"/>
              </w:rPr>
              <w:t>1</w:t>
            </w:r>
            <w:r w:rsidRPr="00BF7956">
              <w:rPr>
                <w:color w:val="333333"/>
                <w:sz w:val="20"/>
                <w:szCs w:val="20"/>
                <w:lang w:val="it-IT" w:eastAsia="ro-MD"/>
              </w:rPr>
              <w:t>, băncile aplică instrucțiunile prevăzute în prezenta anexă.</w:t>
            </w:r>
          </w:p>
          <w:p w14:paraId="7F7EC93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DFA0B23" w14:textId="1C875C1F" w:rsidR="008E3BA7" w:rsidRPr="00BF7956" w:rsidRDefault="008E3BA7" w:rsidP="008E3BA7">
            <w:pPr>
              <w:rPr>
                <w:b/>
                <w:strike/>
                <w:sz w:val="20"/>
                <w:szCs w:val="20"/>
                <w:lang w:val="ro-RO"/>
              </w:rPr>
            </w:pPr>
            <w:r w:rsidRPr="00BF7956">
              <w:rPr>
                <w:bCs/>
                <w:sz w:val="20"/>
                <w:szCs w:val="20"/>
                <w:lang w:val="ro-RO"/>
              </w:rPr>
              <w:lastRenderedPageBreak/>
              <w:t>Compatibil</w:t>
            </w:r>
          </w:p>
        </w:tc>
        <w:tc>
          <w:tcPr>
            <w:tcW w:w="2223" w:type="dxa"/>
          </w:tcPr>
          <w:p w14:paraId="3C8A148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843796F" w14:textId="77777777" w:rsidR="008E3BA7" w:rsidRPr="00BF7956" w:rsidRDefault="008E3BA7" w:rsidP="008E3BA7">
            <w:pPr>
              <w:jc w:val="both"/>
              <w:rPr>
                <w:sz w:val="20"/>
                <w:szCs w:val="20"/>
                <w:lang w:val="ro-RO"/>
              </w:rPr>
            </w:pPr>
          </w:p>
        </w:tc>
        <w:tc>
          <w:tcPr>
            <w:tcW w:w="992" w:type="dxa"/>
          </w:tcPr>
          <w:p w14:paraId="6F9655BD" w14:textId="77777777" w:rsidR="008E3BA7" w:rsidRPr="00BF7956" w:rsidRDefault="008E3BA7" w:rsidP="008E3BA7">
            <w:pPr>
              <w:jc w:val="both"/>
              <w:rPr>
                <w:sz w:val="20"/>
                <w:szCs w:val="20"/>
                <w:lang w:val="ro-RO"/>
              </w:rPr>
            </w:pPr>
          </w:p>
        </w:tc>
      </w:tr>
      <w:tr w:rsidR="008E3BA7" w:rsidRPr="00BF7956" w14:paraId="31FAD5CD" w14:textId="77777777" w:rsidTr="00C25F84">
        <w:tc>
          <w:tcPr>
            <w:tcW w:w="4576" w:type="dxa"/>
          </w:tcPr>
          <w:p w14:paraId="50319AFE" w14:textId="3186CD06" w:rsidR="008E3BA7" w:rsidRPr="00BF7956" w:rsidRDefault="008E3BA7" w:rsidP="008E3BA7">
            <w:pPr>
              <w:rPr>
                <w:sz w:val="20"/>
                <w:szCs w:val="20"/>
                <w:lang w:val="ro-MD" w:eastAsia="en-US"/>
              </w:rPr>
            </w:pPr>
            <w:r w:rsidRPr="00BF7956">
              <w:rPr>
                <w:color w:val="000000"/>
                <w:sz w:val="20"/>
                <w:szCs w:val="20"/>
                <w:lang w:val="it-IT"/>
              </w:rPr>
              <w:t>2. Instrumentul de monitorizare reprezentat de benzile de scadenţă acoperă fluxurile contractuale și ieșirile contingente. Fluxurile contractuale care rezultă din acorduri obligatorii din punct de vedere juridic și scadenţa reziduală de la data raportării trebuie raportate în conformitate cu dispoziţiile acordurilor juridice respective.</w:t>
            </w:r>
          </w:p>
        </w:tc>
        <w:tc>
          <w:tcPr>
            <w:tcW w:w="4536" w:type="dxa"/>
            <w:shd w:val="clear" w:color="auto" w:fill="auto"/>
          </w:tcPr>
          <w:p w14:paraId="7C5FC40E" w14:textId="4FB5FBFA"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2.</w:t>
            </w:r>
            <w:r w:rsidRPr="00BF7956">
              <w:rPr>
                <w:color w:val="333333"/>
                <w:sz w:val="20"/>
                <w:szCs w:val="20"/>
                <w:lang w:val="it-IT" w:eastAsia="ro-MD"/>
              </w:rPr>
              <w:t xml:space="preserve"> Instrumentul de monitorizare reprezentat de benzile de scadență acoperă fluxurile contractuale și ieșirile contingente. Fluxurile contractuale care rezultă din acorduri obligatorii din punct de vedere juridic și scadența reziduală de la data raportării trebuie </w:t>
            </w:r>
            <w:r w:rsidR="002C43F1">
              <w:rPr>
                <w:color w:val="333333"/>
                <w:sz w:val="20"/>
                <w:szCs w:val="20"/>
                <w:lang w:val="it-IT" w:eastAsia="ro-MD"/>
              </w:rPr>
              <w:t xml:space="preserve">prezentate </w:t>
            </w:r>
            <w:r w:rsidRPr="00BF7956">
              <w:rPr>
                <w:color w:val="333333"/>
                <w:sz w:val="20"/>
                <w:szCs w:val="20"/>
                <w:lang w:val="it-IT" w:eastAsia="ro-MD"/>
              </w:rPr>
              <w:t>în conformitate cu dispozițiile acordurilor juridice respective.</w:t>
            </w:r>
          </w:p>
          <w:p w14:paraId="1A13ECF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976D91D" w14:textId="60078BB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F73DA0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A80ADCB" w14:textId="77777777" w:rsidR="008E3BA7" w:rsidRPr="00BF7956" w:rsidRDefault="008E3BA7" w:rsidP="008E3BA7">
            <w:pPr>
              <w:jc w:val="both"/>
              <w:rPr>
                <w:sz w:val="20"/>
                <w:szCs w:val="20"/>
                <w:lang w:val="ro-RO"/>
              </w:rPr>
            </w:pPr>
          </w:p>
        </w:tc>
        <w:tc>
          <w:tcPr>
            <w:tcW w:w="992" w:type="dxa"/>
          </w:tcPr>
          <w:p w14:paraId="0597F767" w14:textId="77777777" w:rsidR="008E3BA7" w:rsidRPr="00BF7956" w:rsidRDefault="008E3BA7" w:rsidP="008E3BA7">
            <w:pPr>
              <w:jc w:val="both"/>
              <w:rPr>
                <w:sz w:val="20"/>
                <w:szCs w:val="20"/>
                <w:lang w:val="ro-RO"/>
              </w:rPr>
            </w:pPr>
          </w:p>
        </w:tc>
      </w:tr>
      <w:tr w:rsidR="008E3BA7" w:rsidRPr="00BF7956" w14:paraId="156B5783" w14:textId="77777777" w:rsidTr="00C25F84">
        <w:tc>
          <w:tcPr>
            <w:tcW w:w="4576" w:type="dxa"/>
          </w:tcPr>
          <w:p w14:paraId="2AF7E897" w14:textId="642F0AF1" w:rsidR="008E3BA7" w:rsidRPr="00BF7956" w:rsidRDefault="008E3BA7" w:rsidP="008E3BA7">
            <w:pPr>
              <w:pStyle w:val="CM4"/>
              <w:spacing w:before="60" w:after="60"/>
              <w:rPr>
                <w:i/>
                <w:iCs/>
                <w:color w:val="000000"/>
                <w:sz w:val="20"/>
                <w:szCs w:val="20"/>
              </w:rPr>
            </w:pPr>
            <w:r w:rsidRPr="00BF7956">
              <w:rPr>
                <w:color w:val="000000"/>
                <w:sz w:val="20"/>
                <w:szCs w:val="20"/>
              </w:rPr>
              <w:t>3. Instituţiile nu trebuie să contabilizeze dublu intrările de numerar.</w:t>
            </w:r>
          </w:p>
        </w:tc>
        <w:tc>
          <w:tcPr>
            <w:tcW w:w="4536" w:type="dxa"/>
            <w:shd w:val="clear" w:color="auto" w:fill="auto"/>
          </w:tcPr>
          <w:p w14:paraId="03A2C087" w14:textId="2889F310" w:rsidR="008E3BA7" w:rsidRPr="00BF7956" w:rsidRDefault="002C43F1" w:rsidP="008E3BA7">
            <w:pPr>
              <w:shd w:val="clear" w:color="auto" w:fill="FFFFFF"/>
              <w:spacing w:before="120"/>
              <w:jc w:val="both"/>
              <w:rPr>
                <w:color w:val="333333"/>
                <w:sz w:val="20"/>
                <w:szCs w:val="20"/>
                <w:lang w:val="it-IT" w:eastAsia="ro-MD"/>
              </w:rPr>
            </w:pPr>
            <w:r>
              <w:rPr>
                <w:b/>
                <w:bCs/>
                <w:color w:val="333333"/>
                <w:sz w:val="20"/>
                <w:szCs w:val="20"/>
                <w:lang w:val="it-IT" w:eastAsia="ro-MD"/>
              </w:rPr>
              <w:t>5</w:t>
            </w:r>
            <w:r w:rsidR="008E3BA7" w:rsidRPr="00BF7956">
              <w:rPr>
                <w:b/>
                <w:bCs/>
                <w:color w:val="333333"/>
                <w:sz w:val="20"/>
                <w:szCs w:val="20"/>
                <w:lang w:val="it-IT" w:eastAsia="ro-MD"/>
              </w:rPr>
              <w:t>.</w:t>
            </w:r>
            <w:r w:rsidR="008E3BA7" w:rsidRPr="00BF7956">
              <w:rPr>
                <w:color w:val="333333"/>
                <w:sz w:val="20"/>
                <w:szCs w:val="20"/>
                <w:lang w:val="it-IT" w:eastAsia="ro-MD"/>
              </w:rPr>
              <w:t> Băncile nu trebuie să contabilizeze dublu intrările de numerar.</w:t>
            </w:r>
          </w:p>
        </w:tc>
        <w:tc>
          <w:tcPr>
            <w:tcW w:w="1418" w:type="dxa"/>
          </w:tcPr>
          <w:p w14:paraId="15C09C17" w14:textId="250A0E3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930D5C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1870333" w14:textId="77777777" w:rsidR="008E3BA7" w:rsidRPr="00BF7956" w:rsidRDefault="008E3BA7" w:rsidP="008E3BA7">
            <w:pPr>
              <w:jc w:val="both"/>
              <w:rPr>
                <w:sz w:val="20"/>
                <w:szCs w:val="20"/>
                <w:lang w:val="ro-RO"/>
              </w:rPr>
            </w:pPr>
          </w:p>
        </w:tc>
        <w:tc>
          <w:tcPr>
            <w:tcW w:w="992" w:type="dxa"/>
          </w:tcPr>
          <w:p w14:paraId="33927A51" w14:textId="77777777" w:rsidR="008E3BA7" w:rsidRPr="00BF7956" w:rsidRDefault="008E3BA7" w:rsidP="008E3BA7">
            <w:pPr>
              <w:jc w:val="both"/>
              <w:rPr>
                <w:sz w:val="20"/>
                <w:szCs w:val="20"/>
                <w:lang w:val="ro-RO"/>
              </w:rPr>
            </w:pPr>
          </w:p>
        </w:tc>
      </w:tr>
      <w:tr w:rsidR="008E3BA7" w:rsidRPr="00BF7956" w14:paraId="0B7BF1D8" w14:textId="77777777" w:rsidTr="00C25F84">
        <w:tc>
          <w:tcPr>
            <w:tcW w:w="4576" w:type="dxa"/>
          </w:tcPr>
          <w:p w14:paraId="0876119B" w14:textId="40FDF557" w:rsidR="008E3BA7" w:rsidRPr="00BF7956" w:rsidRDefault="008E3BA7" w:rsidP="008E3BA7">
            <w:pPr>
              <w:pStyle w:val="CM4"/>
              <w:spacing w:before="60" w:after="60"/>
              <w:rPr>
                <w:i/>
                <w:iCs/>
                <w:color w:val="000000"/>
                <w:sz w:val="20"/>
                <w:szCs w:val="20"/>
                <w:lang w:val="it-IT"/>
              </w:rPr>
            </w:pPr>
            <w:r w:rsidRPr="00BF7956">
              <w:rPr>
                <w:color w:val="000000"/>
                <w:sz w:val="20"/>
                <w:szCs w:val="20"/>
              </w:rPr>
              <w:t>4. În coloana „Stoc iniţial” se raportează stocul de elemente de la data raportării.</w:t>
            </w:r>
          </w:p>
        </w:tc>
        <w:tc>
          <w:tcPr>
            <w:tcW w:w="4536" w:type="dxa"/>
            <w:shd w:val="clear" w:color="auto" w:fill="auto"/>
          </w:tcPr>
          <w:p w14:paraId="7D9D3B63" w14:textId="27B020AB" w:rsidR="008E3BA7" w:rsidRPr="00BF7956" w:rsidRDefault="002C43F1" w:rsidP="008E3BA7">
            <w:pPr>
              <w:shd w:val="clear" w:color="auto" w:fill="FFFFFF"/>
              <w:spacing w:before="120"/>
              <w:jc w:val="both"/>
              <w:rPr>
                <w:color w:val="333333"/>
                <w:sz w:val="20"/>
                <w:szCs w:val="20"/>
                <w:lang w:val="it-IT" w:eastAsia="ro-MD"/>
              </w:rPr>
            </w:pPr>
            <w:r>
              <w:rPr>
                <w:b/>
                <w:bCs/>
                <w:color w:val="333333"/>
                <w:sz w:val="20"/>
                <w:szCs w:val="20"/>
                <w:lang w:val="it-IT" w:eastAsia="ro-MD"/>
              </w:rPr>
              <w:t>6</w:t>
            </w:r>
            <w:r w:rsidR="008E3BA7" w:rsidRPr="00BF7956">
              <w:rPr>
                <w:b/>
                <w:bCs/>
                <w:color w:val="333333"/>
                <w:sz w:val="20"/>
                <w:szCs w:val="20"/>
                <w:lang w:val="it-IT" w:eastAsia="ro-MD"/>
              </w:rPr>
              <w:t>.</w:t>
            </w:r>
            <w:r w:rsidR="008E3BA7" w:rsidRPr="00BF7956">
              <w:rPr>
                <w:color w:val="333333"/>
                <w:sz w:val="20"/>
                <w:szCs w:val="20"/>
                <w:lang w:val="it-IT" w:eastAsia="ro-MD"/>
              </w:rPr>
              <w:t> În coloana „Stoc inițial” se raportează stocul de elemente de la data raportării.</w:t>
            </w:r>
          </w:p>
          <w:p w14:paraId="348E0FC5"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8FFD5B4" w14:textId="0DCF7A9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9B62BC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CB9BBB7" w14:textId="77777777" w:rsidR="008E3BA7" w:rsidRPr="00BF7956" w:rsidRDefault="008E3BA7" w:rsidP="008E3BA7">
            <w:pPr>
              <w:jc w:val="both"/>
              <w:rPr>
                <w:sz w:val="20"/>
                <w:szCs w:val="20"/>
                <w:lang w:val="ro-RO"/>
              </w:rPr>
            </w:pPr>
          </w:p>
        </w:tc>
        <w:tc>
          <w:tcPr>
            <w:tcW w:w="992" w:type="dxa"/>
          </w:tcPr>
          <w:p w14:paraId="7C63608D" w14:textId="77777777" w:rsidR="008E3BA7" w:rsidRPr="00BF7956" w:rsidRDefault="008E3BA7" w:rsidP="008E3BA7">
            <w:pPr>
              <w:jc w:val="both"/>
              <w:rPr>
                <w:sz w:val="20"/>
                <w:szCs w:val="20"/>
                <w:lang w:val="ro-RO"/>
              </w:rPr>
            </w:pPr>
          </w:p>
        </w:tc>
      </w:tr>
      <w:tr w:rsidR="008E3BA7" w:rsidRPr="00BF7956" w14:paraId="53199CB3" w14:textId="77777777" w:rsidTr="00C25F84">
        <w:tc>
          <w:tcPr>
            <w:tcW w:w="4576" w:type="dxa"/>
          </w:tcPr>
          <w:p w14:paraId="3F490D6D" w14:textId="67CA9EFF" w:rsidR="008E3BA7" w:rsidRPr="00BF7956" w:rsidRDefault="008E3BA7" w:rsidP="008E3BA7">
            <w:pPr>
              <w:pStyle w:val="CM4"/>
              <w:spacing w:before="60" w:after="60"/>
              <w:rPr>
                <w:i/>
                <w:iCs/>
                <w:color w:val="000000"/>
                <w:sz w:val="20"/>
                <w:szCs w:val="20"/>
                <w:lang w:val="it-IT"/>
              </w:rPr>
            </w:pPr>
            <w:r w:rsidRPr="00BF7956">
              <w:rPr>
                <w:color w:val="000000"/>
                <w:sz w:val="20"/>
                <w:szCs w:val="20"/>
              </w:rPr>
              <w:t>5. Se completează numai celulele albe goale din formularul din anexa XXII.</w:t>
            </w:r>
          </w:p>
        </w:tc>
        <w:tc>
          <w:tcPr>
            <w:tcW w:w="4536" w:type="dxa"/>
            <w:shd w:val="clear" w:color="auto" w:fill="auto"/>
          </w:tcPr>
          <w:p w14:paraId="7094DF25" w14:textId="0F7E06D0" w:rsidR="008E3BA7" w:rsidRPr="00BF7956" w:rsidRDefault="002C43F1" w:rsidP="008E3BA7">
            <w:pPr>
              <w:shd w:val="clear" w:color="auto" w:fill="FFFFFF"/>
              <w:spacing w:before="120"/>
              <w:jc w:val="both"/>
              <w:rPr>
                <w:color w:val="333333"/>
                <w:sz w:val="20"/>
                <w:szCs w:val="20"/>
                <w:lang w:val="ro-MD" w:eastAsia="ro-MD"/>
              </w:rPr>
            </w:pPr>
            <w:r>
              <w:rPr>
                <w:b/>
                <w:bCs/>
                <w:color w:val="333333"/>
                <w:sz w:val="20"/>
                <w:szCs w:val="20"/>
                <w:lang w:val="ro-MD" w:eastAsia="ro-MD"/>
              </w:rPr>
              <w:t>7</w:t>
            </w:r>
            <w:r w:rsidR="008E3BA7" w:rsidRPr="00BF7956">
              <w:rPr>
                <w:b/>
                <w:bCs/>
                <w:color w:val="333333"/>
                <w:sz w:val="20"/>
                <w:szCs w:val="20"/>
                <w:lang w:val="ro-MD" w:eastAsia="ro-MD"/>
              </w:rPr>
              <w:t>.</w:t>
            </w:r>
            <w:r w:rsidR="008E3BA7" w:rsidRPr="00BF7956">
              <w:rPr>
                <w:color w:val="333333"/>
                <w:sz w:val="20"/>
                <w:szCs w:val="20"/>
                <w:lang w:val="ro-MD" w:eastAsia="ro-MD"/>
              </w:rPr>
              <w:t xml:space="preserve"> Elementele care nu </w:t>
            </w:r>
            <w:r>
              <w:rPr>
                <w:color w:val="333333"/>
                <w:sz w:val="20"/>
                <w:szCs w:val="20"/>
                <w:lang w:val="ro-MD" w:eastAsia="ro-MD"/>
              </w:rPr>
              <w:t>se</w:t>
            </w:r>
            <w:r w:rsidR="008E3BA7" w:rsidRPr="00BF7956">
              <w:rPr>
                <w:color w:val="333333"/>
                <w:sz w:val="20"/>
                <w:szCs w:val="20"/>
                <w:lang w:val="ro-MD" w:eastAsia="ro-MD"/>
              </w:rPr>
              <w:t xml:space="preserve"> complet</w:t>
            </w:r>
            <w:r>
              <w:rPr>
                <w:color w:val="333333"/>
                <w:sz w:val="20"/>
                <w:szCs w:val="20"/>
                <w:lang w:val="ro-MD" w:eastAsia="ro-MD"/>
              </w:rPr>
              <w:t>e</w:t>
            </w:r>
            <w:r w:rsidR="008E3BA7" w:rsidRPr="00BF7956">
              <w:rPr>
                <w:color w:val="333333"/>
                <w:sz w:val="20"/>
                <w:szCs w:val="20"/>
                <w:lang w:val="ro-MD" w:eastAsia="ro-MD"/>
              </w:rPr>
              <w:t>a</w:t>
            </w:r>
            <w:r>
              <w:rPr>
                <w:color w:val="333333"/>
                <w:sz w:val="20"/>
                <w:szCs w:val="20"/>
                <w:lang w:val="ro-MD" w:eastAsia="ro-MD"/>
              </w:rPr>
              <w:t>ză</w:t>
            </w:r>
            <w:r w:rsidR="008E3BA7" w:rsidRPr="00BF7956">
              <w:rPr>
                <w:color w:val="333333"/>
                <w:sz w:val="20"/>
                <w:szCs w:val="20"/>
                <w:lang w:val="ro-MD" w:eastAsia="ro-MD"/>
              </w:rPr>
              <w:t xml:space="preserve"> de către bănci sunt marcate cu semnul „X”. </w:t>
            </w:r>
          </w:p>
        </w:tc>
        <w:tc>
          <w:tcPr>
            <w:tcW w:w="1418" w:type="dxa"/>
          </w:tcPr>
          <w:p w14:paraId="1A417266" w14:textId="6747122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BCE728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A0C2C63" w14:textId="77777777" w:rsidR="008E3BA7" w:rsidRPr="00BF7956" w:rsidRDefault="008E3BA7" w:rsidP="008E3BA7">
            <w:pPr>
              <w:jc w:val="both"/>
              <w:rPr>
                <w:sz w:val="20"/>
                <w:szCs w:val="20"/>
                <w:lang w:val="ro-RO"/>
              </w:rPr>
            </w:pPr>
          </w:p>
        </w:tc>
        <w:tc>
          <w:tcPr>
            <w:tcW w:w="992" w:type="dxa"/>
          </w:tcPr>
          <w:p w14:paraId="600FA429" w14:textId="77777777" w:rsidR="008E3BA7" w:rsidRPr="00BF7956" w:rsidRDefault="008E3BA7" w:rsidP="008E3BA7">
            <w:pPr>
              <w:jc w:val="both"/>
              <w:rPr>
                <w:sz w:val="20"/>
                <w:szCs w:val="20"/>
                <w:lang w:val="ro-RO"/>
              </w:rPr>
            </w:pPr>
          </w:p>
        </w:tc>
      </w:tr>
      <w:tr w:rsidR="008E3BA7" w:rsidRPr="00BF7956" w14:paraId="32822D49" w14:textId="77777777" w:rsidTr="00C25F84">
        <w:tc>
          <w:tcPr>
            <w:tcW w:w="4576" w:type="dxa"/>
          </w:tcPr>
          <w:p w14:paraId="350D24D1" w14:textId="22BA7B45" w:rsidR="008E3BA7" w:rsidRPr="00BF7956" w:rsidRDefault="008E3BA7" w:rsidP="008E3BA7">
            <w:pPr>
              <w:pStyle w:val="CM4"/>
              <w:spacing w:before="60" w:after="60"/>
              <w:rPr>
                <w:i/>
                <w:iCs/>
                <w:color w:val="000000"/>
                <w:sz w:val="20"/>
                <w:szCs w:val="20"/>
                <w:lang w:val="it-IT"/>
              </w:rPr>
            </w:pPr>
            <w:r w:rsidRPr="00BF7956">
              <w:rPr>
                <w:color w:val="000000"/>
                <w:sz w:val="20"/>
                <w:szCs w:val="20"/>
              </w:rPr>
              <w:t>6. Secţiunea din formularul privind benzile de scadenţă intitulată „Ieșiri și intrări” se referă la viitoarele fluxuri de numerar contractuale generate de toate elementele bilanţiere și extrabilanţiere. Se raportează numai intrările și ieșirile în baza contractelor valabile la data de raportare.</w:t>
            </w:r>
            <w:r w:rsidR="005D07E6" w:rsidRPr="00BF7956">
              <w:rPr>
                <w:color w:val="000000"/>
                <w:sz w:val="20"/>
                <w:szCs w:val="20"/>
              </w:rPr>
              <w:t xml:space="preserve"> </w:t>
            </w:r>
            <w:r w:rsidR="005D07E6" w:rsidRPr="00BF7956">
              <w:rPr>
                <w:sz w:val="20"/>
                <w:szCs w:val="20"/>
              </w:rPr>
              <w:t xml:space="preserve"> </w:t>
            </w:r>
            <w:r w:rsidR="005D07E6" w:rsidRPr="00BF7956">
              <w:rPr>
                <w:color w:val="000000"/>
                <w:sz w:val="20"/>
                <w:szCs w:val="20"/>
              </w:rPr>
              <w:t>Intrările și ieșirile provenite din dobânzi generate de toate instrumentele bilanţiere și extrabilanţiere, cu excepţia garanţiilor, se includ la toate punctele relevante ale secţiunilor „Intrări” și „Ieșiri”, în tranșa de timp corespunzătoare în care devin scadente. Plăţile și încasările de dobânzi care devin scadente la 5 ani de la data de referinţă a raportării se exclud din formularul privind benzile de scadenţă.</w:t>
            </w:r>
          </w:p>
        </w:tc>
        <w:tc>
          <w:tcPr>
            <w:tcW w:w="4536" w:type="dxa"/>
            <w:shd w:val="clear" w:color="auto" w:fill="auto"/>
          </w:tcPr>
          <w:p w14:paraId="544A44B6" w14:textId="3574EC07" w:rsidR="008E3BA7" w:rsidRPr="00BF7956" w:rsidRDefault="002C43F1" w:rsidP="008E3BA7">
            <w:pPr>
              <w:shd w:val="clear" w:color="auto" w:fill="FFFFFF"/>
              <w:spacing w:before="120"/>
              <w:jc w:val="both"/>
              <w:rPr>
                <w:color w:val="333333"/>
                <w:sz w:val="20"/>
                <w:szCs w:val="20"/>
                <w:lang w:val="ro-MD" w:eastAsia="ro-MD"/>
              </w:rPr>
            </w:pPr>
            <w:r>
              <w:rPr>
                <w:b/>
                <w:bCs/>
                <w:color w:val="333333"/>
                <w:sz w:val="20"/>
                <w:szCs w:val="20"/>
                <w:lang w:val="ro-MD" w:eastAsia="ro-MD"/>
              </w:rPr>
              <w:t>8</w:t>
            </w:r>
            <w:r w:rsidR="008E3BA7" w:rsidRPr="00BF7956">
              <w:rPr>
                <w:b/>
                <w:bCs/>
                <w:color w:val="333333"/>
                <w:sz w:val="20"/>
                <w:szCs w:val="20"/>
                <w:lang w:val="ro-MD" w:eastAsia="ro-MD"/>
              </w:rPr>
              <w:t>.</w:t>
            </w:r>
            <w:r w:rsidR="008E3BA7" w:rsidRPr="00BF7956">
              <w:rPr>
                <w:color w:val="333333"/>
                <w:sz w:val="20"/>
                <w:szCs w:val="20"/>
                <w:lang w:val="ro-MD" w:eastAsia="ro-MD"/>
              </w:rPr>
              <w:t> Secțiun</w:t>
            </w:r>
            <w:r>
              <w:rPr>
                <w:color w:val="333333"/>
                <w:sz w:val="20"/>
                <w:szCs w:val="20"/>
                <w:lang w:val="ro-MD" w:eastAsia="ro-MD"/>
              </w:rPr>
              <w:t>il</w:t>
            </w:r>
            <w:r w:rsidR="008E3BA7" w:rsidRPr="00BF7956">
              <w:rPr>
                <w:color w:val="333333"/>
                <w:sz w:val="20"/>
                <w:szCs w:val="20"/>
                <w:lang w:val="ro-MD" w:eastAsia="ro-MD"/>
              </w:rPr>
              <w:t>e</w:t>
            </w:r>
            <w:r w:rsidR="005D07E6" w:rsidRPr="00BF7956">
              <w:rPr>
                <w:color w:val="333333"/>
                <w:sz w:val="20"/>
                <w:szCs w:val="20"/>
                <w:lang w:val="ro-MD" w:eastAsia="ro-MD"/>
              </w:rPr>
              <w:t xml:space="preserve"> ID 1 și ID 2</w:t>
            </w:r>
            <w:r w:rsidR="008E3BA7" w:rsidRPr="00BF7956">
              <w:rPr>
                <w:color w:val="333333"/>
                <w:sz w:val="20"/>
                <w:szCs w:val="20"/>
                <w:lang w:val="ro-MD" w:eastAsia="ro-MD"/>
              </w:rPr>
              <w:t xml:space="preserve"> din formularul privind benzile de scadență intitulat</w:t>
            </w:r>
            <w:r>
              <w:rPr>
                <w:color w:val="333333"/>
                <w:sz w:val="20"/>
                <w:szCs w:val="20"/>
                <w:lang w:val="ro-MD" w:eastAsia="ro-MD"/>
              </w:rPr>
              <w:t>e</w:t>
            </w:r>
            <w:r w:rsidR="008E3BA7" w:rsidRPr="00BF7956">
              <w:rPr>
                <w:color w:val="333333"/>
                <w:sz w:val="20"/>
                <w:szCs w:val="20"/>
                <w:lang w:val="ro-MD" w:eastAsia="ro-MD"/>
              </w:rPr>
              <w:t xml:space="preserve"> „Ieșiri</w:t>
            </w:r>
            <w:r w:rsidR="005D07E6" w:rsidRPr="00BF7956">
              <w:rPr>
                <w:color w:val="333333"/>
                <w:sz w:val="20"/>
                <w:szCs w:val="20"/>
                <w:lang w:val="ro-MD" w:eastAsia="ro-MD"/>
              </w:rPr>
              <w:t>”</w:t>
            </w:r>
            <w:r w:rsidR="008E3BA7" w:rsidRPr="00BF7956">
              <w:rPr>
                <w:color w:val="333333"/>
                <w:sz w:val="20"/>
                <w:szCs w:val="20"/>
                <w:lang w:val="ro-MD" w:eastAsia="ro-MD"/>
              </w:rPr>
              <w:t xml:space="preserve"> și</w:t>
            </w:r>
            <w:r>
              <w:rPr>
                <w:color w:val="333333"/>
                <w:sz w:val="20"/>
                <w:szCs w:val="20"/>
                <w:lang w:val="ro-MD" w:eastAsia="ro-MD"/>
              </w:rPr>
              <w:t>,</w:t>
            </w:r>
            <w:r w:rsidR="008E3BA7" w:rsidRPr="00BF7956">
              <w:rPr>
                <w:color w:val="333333"/>
                <w:sz w:val="20"/>
                <w:szCs w:val="20"/>
                <w:lang w:val="ro-MD" w:eastAsia="ro-MD"/>
              </w:rPr>
              <w:t xml:space="preserve"> </w:t>
            </w:r>
            <w:r w:rsidR="005D07E6" w:rsidRPr="00BF7956">
              <w:rPr>
                <w:color w:val="333333"/>
                <w:sz w:val="20"/>
                <w:szCs w:val="20"/>
                <w:lang w:val="ro-MD" w:eastAsia="ro-MD"/>
              </w:rPr>
              <w:t>respectiv</w:t>
            </w:r>
            <w:r>
              <w:rPr>
                <w:color w:val="333333"/>
                <w:sz w:val="20"/>
                <w:szCs w:val="20"/>
                <w:lang w:val="ro-MD" w:eastAsia="ro-MD"/>
              </w:rPr>
              <w:t>,</w:t>
            </w:r>
            <w:r w:rsidR="005D07E6" w:rsidRPr="00BF7956">
              <w:rPr>
                <w:color w:val="333333"/>
                <w:sz w:val="20"/>
                <w:szCs w:val="20"/>
                <w:lang w:val="ro-MD" w:eastAsia="ro-MD"/>
              </w:rPr>
              <w:t xml:space="preserve"> „I</w:t>
            </w:r>
            <w:r w:rsidR="008E3BA7" w:rsidRPr="00BF7956">
              <w:rPr>
                <w:color w:val="333333"/>
                <w:sz w:val="20"/>
                <w:szCs w:val="20"/>
                <w:lang w:val="ro-MD" w:eastAsia="ro-MD"/>
              </w:rPr>
              <w:t>ntrări” se referă la viitoarele fluxuri de numerar contractuale generate de toate elementele bilanțiere și extrabilanțiere. Se raportează numai intrările și ieșirile în baza contractelor valabile la data de raportare.</w:t>
            </w:r>
            <w:r w:rsidR="005D07E6" w:rsidRPr="00BF7956">
              <w:rPr>
                <w:sz w:val="20"/>
                <w:szCs w:val="20"/>
                <w:lang w:val="en-US"/>
              </w:rPr>
              <w:t xml:space="preserve"> </w:t>
            </w:r>
            <w:r w:rsidR="005D07E6" w:rsidRPr="00BF7956">
              <w:rPr>
                <w:color w:val="333333"/>
                <w:sz w:val="20"/>
                <w:szCs w:val="20"/>
                <w:lang w:val="ro-MD" w:eastAsia="ro-MD"/>
              </w:rPr>
              <w:t>Intrările și ieșirile provenite din dobânzi generate de toate instrumentele bilanţiere și extrabilanţiere, cu excepţia garanţiilor, se includ la toate punctele relevante ale secţiunilor „Intrări” și „Ieșiri”, în tranșa de timp corespunzătoare în care devin scadente. Plăţile și încasările de dobânzi care devin scadente la 5 ani de la data de referinţă a raportării se exclud din formularul privind benzile de scadenţă.</w:t>
            </w:r>
          </w:p>
        </w:tc>
        <w:tc>
          <w:tcPr>
            <w:tcW w:w="1418" w:type="dxa"/>
          </w:tcPr>
          <w:p w14:paraId="403ACB57" w14:textId="2C90F5E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A979E8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5AA47D0" w14:textId="77777777" w:rsidR="008E3BA7" w:rsidRPr="00BF7956" w:rsidRDefault="008E3BA7" w:rsidP="008E3BA7">
            <w:pPr>
              <w:jc w:val="both"/>
              <w:rPr>
                <w:sz w:val="20"/>
                <w:szCs w:val="20"/>
                <w:lang w:val="ro-RO"/>
              </w:rPr>
            </w:pPr>
          </w:p>
        </w:tc>
        <w:tc>
          <w:tcPr>
            <w:tcW w:w="992" w:type="dxa"/>
          </w:tcPr>
          <w:p w14:paraId="4091C011" w14:textId="77777777" w:rsidR="008E3BA7" w:rsidRPr="00BF7956" w:rsidRDefault="008E3BA7" w:rsidP="008E3BA7">
            <w:pPr>
              <w:jc w:val="both"/>
              <w:rPr>
                <w:sz w:val="20"/>
                <w:szCs w:val="20"/>
                <w:lang w:val="ro-RO"/>
              </w:rPr>
            </w:pPr>
          </w:p>
        </w:tc>
      </w:tr>
      <w:tr w:rsidR="008E3BA7" w:rsidRPr="00BF7956" w14:paraId="5108A3BE" w14:textId="77777777" w:rsidTr="00C25F84">
        <w:tc>
          <w:tcPr>
            <w:tcW w:w="4576" w:type="dxa"/>
          </w:tcPr>
          <w:p w14:paraId="0971D774" w14:textId="22A3C680" w:rsidR="008E3BA7" w:rsidRPr="00BF7956" w:rsidRDefault="008E3BA7" w:rsidP="008E3BA7">
            <w:pPr>
              <w:pStyle w:val="CM4"/>
              <w:spacing w:before="60" w:after="60"/>
              <w:rPr>
                <w:i/>
                <w:iCs/>
                <w:color w:val="000000"/>
                <w:sz w:val="20"/>
                <w:szCs w:val="20"/>
              </w:rPr>
            </w:pPr>
            <w:r w:rsidRPr="00BF7956">
              <w:rPr>
                <w:color w:val="000000"/>
                <w:sz w:val="20"/>
                <w:szCs w:val="20"/>
              </w:rPr>
              <w:t xml:space="preserve">7. Secţiunea din formularul privind benzile de scadenţă intitulată „Capacitatea de compensare” </w:t>
            </w:r>
            <w:r w:rsidRPr="00BF7956">
              <w:rPr>
                <w:color w:val="000000"/>
                <w:sz w:val="20"/>
                <w:szCs w:val="20"/>
              </w:rPr>
              <w:lastRenderedPageBreak/>
              <w:t>reprezintă stocul de active negrevate de sarcini sau de alte surse de finanţare de care dispune instituţia din punct de vedere juridic și practic la data de raportare pentru acoperirea potenţialelor deficite contractuale. Se raportează numai intrările și ieșirile în baza contractelor existente la data de raportare.</w:t>
            </w:r>
          </w:p>
        </w:tc>
        <w:tc>
          <w:tcPr>
            <w:tcW w:w="4536" w:type="dxa"/>
            <w:shd w:val="clear" w:color="auto" w:fill="auto"/>
          </w:tcPr>
          <w:p w14:paraId="6F632C31" w14:textId="5D6C9CC0" w:rsidR="008E3BA7" w:rsidRPr="00BF7956" w:rsidRDefault="002C43F1" w:rsidP="008E3BA7">
            <w:pPr>
              <w:shd w:val="clear" w:color="auto" w:fill="FFFFFF"/>
              <w:spacing w:before="120"/>
              <w:jc w:val="both"/>
              <w:rPr>
                <w:color w:val="333333"/>
                <w:sz w:val="20"/>
                <w:szCs w:val="20"/>
                <w:lang w:val="it-IT" w:eastAsia="ro-MD"/>
              </w:rPr>
            </w:pPr>
            <w:r>
              <w:rPr>
                <w:b/>
                <w:bCs/>
                <w:color w:val="333333"/>
                <w:sz w:val="20"/>
                <w:szCs w:val="20"/>
                <w:lang w:val="it-IT" w:eastAsia="ro-MD"/>
              </w:rPr>
              <w:lastRenderedPageBreak/>
              <w:t>9</w:t>
            </w:r>
            <w:r w:rsidR="008E3BA7" w:rsidRPr="00BF7956">
              <w:rPr>
                <w:b/>
                <w:bCs/>
                <w:color w:val="333333"/>
                <w:sz w:val="20"/>
                <w:szCs w:val="20"/>
                <w:lang w:val="it-IT" w:eastAsia="ro-MD"/>
              </w:rPr>
              <w:t>.</w:t>
            </w:r>
            <w:r w:rsidR="008E3BA7" w:rsidRPr="00BF7956">
              <w:rPr>
                <w:color w:val="333333"/>
                <w:sz w:val="20"/>
                <w:szCs w:val="20"/>
                <w:lang w:val="it-IT" w:eastAsia="ro-MD"/>
              </w:rPr>
              <w:t xml:space="preserve"> Secțiunea </w:t>
            </w:r>
            <w:r w:rsidR="004D5C50" w:rsidRPr="00BF7956">
              <w:rPr>
                <w:color w:val="333333"/>
                <w:sz w:val="20"/>
                <w:szCs w:val="20"/>
                <w:lang w:val="it-IT" w:eastAsia="ro-MD"/>
              </w:rPr>
              <w:t xml:space="preserve">ID 3 </w:t>
            </w:r>
            <w:r w:rsidR="008E3BA7" w:rsidRPr="00BF7956">
              <w:rPr>
                <w:color w:val="333333"/>
                <w:sz w:val="20"/>
                <w:szCs w:val="20"/>
                <w:lang w:val="it-IT" w:eastAsia="ro-MD"/>
              </w:rPr>
              <w:t xml:space="preserve">din formularul privind benzile de scadență intitulată „Capacitatea de compensare” </w:t>
            </w:r>
            <w:r w:rsidR="008E3BA7" w:rsidRPr="00BF7956">
              <w:rPr>
                <w:color w:val="333333"/>
                <w:sz w:val="20"/>
                <w:szCs w:val="20"/>
                <w:lang w:val="it-IT" w:eastAsia="ro-MD"/>
              </w:rPr>
              <w:lastRenderedPageBreak/>
              <w:t>reprezintă stocul de active negrevate de sarcini sau de alte surse de finanțare de care dispune banca din punct de vedere juridic și practic la data de raportare pentru acoperirea potențialelor deficite contractuale. Se raportează numai intrările și ieșirile în baza contractelor existente la data de raportare.</w:t>
            </w:r>
          </w:p>
        </w:tc>
        <w:tc>
          <w:tcPr>
            <w:tcW w:w="1418" w:type="dxa"/>
          </w:tcPr>
          <w:p w14:paraId="4AA356B3" w14:textId="0672CDE4" w:rsidR="008E3BA7" w:rsidRPr="00BF7956" w:rsidRDefault="008E3BA7" w:rsidP="008E3BA7">
            <w:pPr>
              <w:rPr>
                <w:b/>
                <w:strike/>
                <w:sz w:val="20"/>
                <w:szCs w:val="20"/>
                <w:lang w:val="ro-RO"/>
              </w:rPr>
            </w:pPr>
            <w:r w:rsidRPr="00BF7956">
              <w:rPr>
                <w:bCs/>
                <w:sz w:val="20"/>
                <w:szCs w:val="20"/>
                <w:lang w:val="ro-RO"/>
              </w:rPr>
              <w:lastRenderedPageBreak/>
              <w:t>Compatibil</w:t>
            </w:r>
          </w:p>
        </w:tc>
        <w:tc>
          <w:tcPr>
            <w:tcW w:w="2223" w:type="dxa"/>
          </w:tcPr>
          <w:p w14:paraId="7741F77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8BF0298" w14:textId="77777777" w:rsidR="008E3BA7" w:rsidRPr="00BF7956" w:rsidRDefault="008E3BA7" w:rsidP="008E3BA7">
            <w:pPr>
              <w:jc w:val="both"/>
              <w:rPr>
                <w:sz w:val="20"/>
                <w:szCs w:val="20"/>
                <w:lang w:val="ro-RO"/>
              </w:rPr>
            </w:pPr>
          </w:p>
        </w:tc>
        <w:tc>
          <w:tcPr>
            <w:tcW w:w="992" w:type="dxa"/>
          </w:tcPr>
          <w:p w14:paraId="12D358F6" w14:textId="77777777" w:rsidR="008E3BA7" w:rsidRPr="00BF7956" w:rsidRDefault="008E3BA7" w:rsidP="008E3BA7">
            <w:pPr>
              <w:jc w:val="both"/>
              <w:rPr>
                <w:sz w:val="20"/>
                <w:szCs w:val="20"/>
                <w:lang w:val="ro-RO"/>
              </w:rPr>
            </w:pPr>
          </w:p>
        </w:tc>
      </w:tr>
      <w:tr w:rsidR="008E3BA7" w:rsidRPr="00BF7956" w14:paraId="33737582" w14:textId="77777777" w:rsidTr="00C25F84">
        <w:tc>
          <w:tcPr>
            <w:tcW w:w="4576" w:type="dxa"/>
          </w:tcPr>
          <w:p w14:paraId="1E29C9FD" w14:textId="4C5182C7" w:rsidR="008E3BA7" w:rsidRPr="00BF7956" w:rsidRDefault="008E3BA7" w:rsidP="008E3BA7">
            <w:pPr>
              <w:pStyle w:val="CM4"/>
              <w:spacing w:before="60" w:after="60"/>
              <w:rPr>
                <w:i/>
                <w:iCs/>
                <w:color w:val="000000"/>
                <w:sz w:val="20"/>
                <w:szCs w:val="20"/>
              </w:rPr>
            </w:pPr>
            <w:r w:rsidRPr="00BF7956">
              <w:rPr>
                <w:color w:val="000000"/>
                <w:sz w:val="20"/>
                <w:szCs w:val="20"/>
              </w:rPr>
              <w:t>8. Intrările și ieșirile de numerar din secţiunile „Intrări” și, respectiv, „Ieșiri” se raportează la valoarea brută cu semn pozitiv. Sumele scadente care urmează să fie plătite și primite se raportează în secţiunile „Ieșiri” și, respectiv, „Intrări”.</w:t>
            </w:r>
          </w:p>
        </w:tc>
        <w:tc>
          <w:tcPr>
            <w:tcW w:w="4536" w:type="dxa"/>
            <w:shd w:val="clear" w:color="auto" w:fill="auto"/>
          </w:tcPr>
          <w:p w14:paraId="03DBA3CF" w14:textId="19CD5812" w:rsidR="008E3BA7" w:rsidRPr="00BF7956" w:rsidRDefault="002C43F1" w:rsidP="008E3BA7">
            <w:pPr>
              <w:shd w:val="clear" w:color="auto" w:fill="FFFFFF"/>
              <w:spacing w:before="120"/>
              <w:jc w:val="both"/>
              <w:rPr>
                <w:color w:val="333333"/>
                <w:sz w:val="20"/>
                <w:szCs w:val="20"/>
                <w:lang w:val="it-IT" w:eastAsia="ro-MD"/>
              </w:rPr>
            </w:pPr>
            <w:r>
              <w:rPr>
                <w:b/>
                <w:bCs/>
                <w:color w:val="333333"/>
                <w:sz w:val="20"/>
                <w:szCs w:val="20"/>
                <w:lang w:val="it-IT" w:eastAsia="ro-MD"/>
              </w:rPr>
              <w:t>10</w:t>
            </w:r>
            <w:r w:rsidR="008E3BA7" w:rsidRPr="00BF7956">
              <w:rPr>
                <w:b/>
                <w:bCs/>
                <w:color w:val="333333"/>
                <w:sz w:val="20"/>
                <w:szCs w:val="20"/>
                <w:lang w:val="it-IT" w:eastAsia="ro-MD"/>
              </w:rPr>
              <w:t>.</w:t>
            </w:r>
            <w:r w:rsidR="008E3BA7" w:rsidRPr="00BF7956">
              <w:rPr>
                <w:color w:val="333333"/>
                <w:sz w:val="20"/>
                <w:szCs w:val="20"/>
                <w:lang w:val="it-IT" w:eastAsia="ro-MD"/>
              </w:rPr>
              <w:t> Intrările și ieșirile de numerar din secțiunile „Intrări” și, respectiv, „Ieșiri” se raportează la valoarea brută cu semn pozitiv. Sumele scadente care urmează să fie plătite și primite se raportează în secțiunile „Ieșiri” și, respectiv, „Intrări”.</w:t>
            </w:r>
          </w:p>
          <w:p w14:paraId="4436A682"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F9E9A85" w14:textId="7D51461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29AE39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B19FAB0" w14:textId="77777777" w:rsidR="008E3BA7" w:rsidRPr="00BF7956" w:rsidRDefault="008E3BA7" w:rsidP="008E3BA7">
            <w:pPr>
              <w:jc w:val="both"/>
              <w:rPr>
                <w:sz w:val="20"/>
                <w:szCs w:val="20"/>
                <w:lang w:val="ro-RO"/>
              </w:rPr>
            </w:pPr>
          </w:p>
        </w:tc>
        <w:tc>
          <w:tcPr>
            <w:tcW w:w="992" w:type="dxa"/>
          </w:tcPr>
          <w:p w14:paraId="7EB2FBD1" w14:textId="77777777" w:rsidR="008E3BA7" w:rsidRPr="00BF7956" w:rsidRDefault="008E3BA7" w:rsidP="008E3BA7">
            <w:pPr>
              <w:jc w:val="both"/>
              <w:rPr>
                <w:sz w:val="20"/>
                <w:szCs w:val="20"/>
                <w:lang w:val="ro-RO"/>
              </w:rPr>
            </w:pPr>
          </w:p>
        </w:tc>
      </w:tr>
      <w:tr w:rsidR="008E3BA7" w:rsidRPr="00BF7956" w14:paraId="712F8BF7" w14:textId="77777777" w:rsidTr="00C25F84">
        <w:tc>
          <w:tcPr>
            <w:tcW w:w="4576" w:type="dxa"/>
          </w:tcPr>
          <w:p w14:paraId="509BE469" w14:textId="15206B1B" w:rsidR="008E3BA7" w:rsidRPr="00BF7956" w:rsidRDefault="008E3BA7" w:rsidP="008E3BA7">
            <w:pPr>
              <w:pStyle w:val="CM4"/>
              <w:spacing w:before="60" w:after="60"/>
              <w:rPr>
                <w:i/>
                <w:iCs/>
                <w:color w:val="000000"/>
                <w:sz w:val="20"/>
                <w:szCs w:val="20"/>
              </w:rPr>
            </w:pPr>
            <w:r w:rsidRPr="00BF7956">
              <w:rPr>
                <w:color w:val="000000"/>
                <w:sz w:val="20"/>
                <w:szCs w:val="20"/>
              </w:rPr>
              <w:t>9. În secţiunea din formularul privind benzile de scadenţă intitulată „Capacitatea de compensare”, intrările și ieșirile se raportează la valoarea netă, cu semn pozitiv dacă reprezintă intrări și cu semn negativ dacă reprezintă ieșiri. În cazul fluxurilor de numerar, se raportează sumele scadente. Fluxurile de titluri de valoare se raportează la valoarea curentă de piaţă. Fluxurile generate de liniile de credit și de lichiditate se raportează la valorile contractuale disponibile.</w:t>
            </w:r>
          </w:p>
        </w:tc>
        <w:tc>
          <w:tcPr>
            <w:tcW w:w="4536" w:type="dxa"/>
            <w:shd w:val="clear" w:color="auto" w:fill="auto"/>
          </w:tcPr>
          <w:p w14:paraId="07966471" w14:textId="3CC4F395" w:rsidR="008E3BA7" w:rsidRPr="00BF7956" w:rsidRDefault="004D5C50" w:rsidP="008E3BA7">
            <w:pPr>
              <w:shd w:val="clear" w:color="auto" w:fill="FFFFFF"/>
              <w:spacing w:before="120"/>
              <w:jc w:val="both"/>
              <w:rPr>
                <w:color w:val="333333"/>
                <w:sz w:val="20"/>
                <w:szCs w:val="20"/>
                <w:lang w:val="it-IT" w:eastAsia="ro-MD"/>
              </w:rPr>
            </w:pPr>
            <w:r w:rsidRPr="00BF7956">
              <w:rPr>
                <w:b/>
                <w:bCs/>
                <w:color w:val="333333"/>
                <w:sz w:val="20"/>
                <w:szCs w:val="20"/>
                <w:lang w:val="ro-MD" w:eastAsia="ro-MD"/>
              </w:rPr>
              <w:t>1</w:t>
            </w:r>
            <w:r w:rsidR="002C43F1">
              <w:rPr>
                <w:b/>
                <w:bCs/>
                <w:color w:val="333333"/>
                <w:sz w:val="20"/>
                <w:szCs w:val="20"/>
                <w:lang w:val="ro-MD" w:eastAsia="ro-MD"/>
              </w:rPr>
              <w:t>1</w:t>
            </w:r>
            <w:r w:rsidR="008E3BA7" w:rsidRPr="00BF7956">
              <w:rPr>
                <w:b/>
                <w:bCs/>
                <w:color w:val="333333"/>
                <w:sz w:val="20"/>
                <w:szCs w:val="20"/>
                <w:lang w:val="ro-MD" w:eastAsia="ro-MD"/>
              </w:rPr>
              <w:t>.</w:t>
            </w:r>
            <w:r w:rsidR="008E3BA7" w:rsidRPr="00BF7956">
              <w:rPr>
                <w:color w:val="333333"/>
                <w:sz w:val="20"/>
                <w:szCs w:val="20"/>
                <w:lang w:val="ro-MD" w:eastAsia="ro-MD"/>
              </w:rPr>
              <w:t xml:space="preserve"> În secțiunea din formularul privind benzile de scadență intitulată „Capacitatea de compensare”, intrările și ieșirile se raportează la valoarea netă, cu semn pozitiv dacă reprezintă intrări și cu semn negativ dacă reprezintă ieșiri. </w:t>
            </w:r>
            <w:r w:rsidR="008E3BA7" w:rsidRPr="00BF7956">
              <w:rPr>
                <w:color w:val="333333"/>
                <w:sz w:val="20"/>
                <w:szCs w:val="20"/>
                <w:lang w:val="it-IT" w:eastAsia="ro-MD"/>
              </w:rPr>
              <w:t>În cazul fluxurilor de numerar, se raportează sumele scadente. Fluxurile de titluri de valoare se raportează la valoarea curentă de piață. Fluxurile generate de liniile de credit și de lichiditate se raportează la valorile contractuale disponibile.</w:t>
            </w:r>
          </w:p>
        </w:tc>
        <w:tc>
          <w:tcPr>
            <w:tcW w:w="1418" w:type="dxa"/>
          </w:tcPr>
          <w:p w14:paraId="2F9803CA" w14:textId="67CEDD0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5D633D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58EFE85" w14:textId="77777777" w:rsidR="008E3BA7" w:rsidRPr="00BF7956" w:rsidRDefault="008E3BA7" w:rsidP="008E3BA7">
            <w:pPr>
              <w:jc w:val="both"/>
              <w:rPr>
                <w:sz w:val="20"/>
                <w:szCs w:val="20"/>
                <w:lang w:val="ro-RO"/>
              </w:rPr>
            </w:pPr>
          </w:p>
        </w:tc>
        <w:tc>
          <w:tcPr>
            <w:tcW w:w="992" w:type="dxa"/>
          </w:tcPr>
          <w:p w14:paraId="49C6F847" w14:textId="77777777" w:rsidR="008E3BA7" w:rsidRPr="00BF7956" w:rsidRDefault="008E3BA7" w:rsidP="008E3BA7">
            <w:pPr>
              <w:jc w:val="both"/>
              <w:rPr>
                <w:sz w:val="20"/>
                <w:szCs w:val="20"/>
                <w:lang w:val="ro-RO"/>
              </w:rPr>
            </w:pPr>
          </w:p>
        </w:tc>
      </w:tr>
      <w:tr w:rsidR="008E3BA7" w:rsidRPr="00BF7956" w14:paraId="63B7CC72" w14:textId="77777777" w:rsidTr="00C25F84">
        <w:tc>
          <w:tcPr>
            <w:tcW w:w="4576" w:type="dxa"/>
          </w:tcPr>
          <w:p w14:paraId="2661DDAB" w14:textId="7CB36F19" w:rsidR="008E3BA7" w:rsidRPr="00BF7956" w:rsidRDefault="008E3BA7" w:rsidP="008E3BA7">
            <w:pPr>
              <w:pStyle w:val="CM4"/>
              <w:spacing w:before="60" w:after="60"/>
              <w:rPr>
                <w:i/>
                <w:iCs/>
                <w:color w:val="000000"/>
                <w:sz w:val="20"/>
                <w:szCs w:val="20"/>
              </w:rPr>
            </w:pPr>
            <w:r w:rsidRPr="00BF7956">
              <w:rPr>
                <w:color w:val="000000"/>
                <w:sz w:val="20"/>
                <w:szCs w:val="20"/>
              </w:rPr>
              <w:t>1</w:t>
            </w:r>
            <w:r w:rsidR="004D5C50" w:rsidRPr="00BF7956">
              <w:rPr>
                <w:color w:val="000000"/>
                <w:sz w:val="20"/>
                <w:szCs w:val="20"/>
              </w:rPr>
              <w:t>0</w:t>
            </w:r>
            <w:r w:rsidRPr="00BF7956">
              <w:rPr>
                <w:color w:val="000000"/>
                <w:sz w:val="20"/>
                <w:szCs w:val="20"/>
              </w:rPr>
              <w:t>. Fluxurile contractuale se alocă în cadrul celor 22 de tranșe de timp în conformitate cu scadenţa lor reziduală, zilele referindu-se la zile calendaristice.</w:t>
            </w:r>
          </w:p>
        </w:tc>
        <w:tc>
          <w:tcPr>
            <w:tcW w:w="4536" w:type="dxa"/>
            <w:shd w:val="clear" w:color="auto" w:fill="auto"/>
          </w:tcPr>
          <w:p w14:paraId="348D6A9D" w14:textId="1ADF1DB3"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2</w:t>
            </w:r>
            <w:r w:rsidRPr="00BF7956">
              <w:rPr>
                <w:b/>
                <w:bCs/>
                <w:color w:val="333333"/>
                <w:sz w:val="20"/>
                <w:szCs w:val="20"/>
                <w:lang w:val="it-IT" w:eastAsia="ro-MD"/>
              </w:rPr>
              <w:t>.</w:t>
            </w:r>
            <w:r w:rsidRPr="00BF7956">
              <w:rPr>
                <w:color w:val="333333"/>
                <w:sz w:val="20"/>
                <w:szCs w:val="20"/>
                <w:lang w:val="it-IT" w:eastAsia="ro-MD"/>
              </w:rPr>
              <w:t> Fluxurile contractuale se alocă în cadrul celor 22 de tranșe de timp în conformitate cu scadența lor reziduală, zilele referindu-se la zile calendaristice.</w:t>
            </w:r>
          </w:p>
          <w:p w14:paraId="1381BBF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315D510" w14:textId="0601814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79BC63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E0F178D" w14:textId="77777777" w:rsidR="008E3BA7" w:rsidRPr="00BF7956" w:rsidRDefault="008E3BA7" w:rsidP="008E3BA7">
            <w:pPr>
              <w:jc w:val="both"/>
              <w:rPr>
                <w:sz w:val="20"/>
                <w:szCs w:val="20"/>
                <w:lang w:val="ro-RO"/>
              </w:rPr>
            </w:pPr>
          </w:p>
        </w:tc>
        <w:tc>
          <w:tcPr>
            <w:tcW w:w="992" w:type="dxa"/>
          </w:tcPr>
          <w:p w14:paraId="44073638" w14:textId="77777777" w:rsidR="008E3BA7" w:rsidRPr="00BF7956" w:rsidRDefault="008E3BA7" w:rsidP="008E3BA7">
            <w:pPr>
              <w:jc w:val="both"/>
              <w:rPr>
                <w:sz w:val="20"/>
                <w:szCs w:val="20"/>
                <w:lang w:val="ro-RO"/>
              </w:rPr>
            </w:pPr>
          </w:p>
        </w:tc>
      </w:tr>
      <w:tr w:rsidR="008E3BA7" w:rsidRPr="00BF7956" w14:paraId="449BC776" w14:textId="77777777" w:rsidTr="00C25F84">
        <w:tc>
          <w:tcPr>
            <w:tcW w:w="4576" w:type="dxa"/>
          </w:tcPr>
          <w:p w14:paraId="0FD2B7FA" w14:textId="1931F890" w:rsidR="008E3BA7" w:rsidRPr="00BF7956" w:rsidRDefault="008E3BA7" w:rsidP="008E3BA7">
            <w:pPr>
              <w:pStyle w:val="CM4"/>
              <w:spacing w:before="60" w:after="60"/>
              <w:rPr>
                <w:i/>
                <w:iCs/>
                <w:color w:val="000000"/>
                <w:sz w:val="20"/>
                <w:szCs w:val="20"/>
              </w:rPr>
            </w:pPr>
            <w:r w:rsidRPr="00BF7956">
              <w:rPr>
                <w:color w:val="000000"/>
                <w:sz w:val="20"/>
                <w:szCs w:val="20"/>
              </w:rPr>
              <w:t>11. Se raportează toate fluxurile contractuale, inclusiv toate fluxurile de numerar semnificative provenite din activităţi nefinanciare, precum impozitele, bonusurile, dividendele și chiriile.</w:t>
            </w:r>
            <w:r w:rsidR="004D5C50" w:rsidRPr="00BF7956">
              <w:rPr>
                <w:color w:val="000000"/>
                <w:sz w:val="20"/>
                <w:szCs w:val="20"/>
              </w:rPr>
              <w:t xml:space="preserve"> </w:t>
            </w:r>
            <w:r w:rsidR="004D5C50" w:rsidRPr="00BF7956">
              <w:rPr>
                <w:sz w:val="20"/>
                <w:szCs w:val="20"/>
              </w:rPr>
              <w:t xml:space="preserve"> </w:t>
            </w:r>
            <w:r w:rsidR="004D5C50" w:rsidRPr="00BF7956">
              <w:rPr>
                <w:color w:val="000000"/>
                <w:sz w:val="20"/>
                <w:szCs w:val="20"/>
              </w:rPr>
              <w:t>Fluxurile de numerar provenite din activităţi nefinanciare se raportează în tranșa de timp corespunzătoare în care devin scadente. Aceste fluxuri de numerar se exclud din formularul privind benzile de scadenţă în cazul în care devin scadente la 5 ani de la data de referinţă a raportării.</w:t>
            </w:r>
          </w:p>
        </w:tc>
        <w:tc>
          <w:tcPr>
            <w:tcW w:w="4536" w:type="dxa"/>
            <w:shd w:val="clear" w:color="auto" w:fill="auto"/>
          </w:tcPr>
          <w:p w14:paraId="21E8AC57" w14:textId="4C8347B0" w:rsidR="008E3BA7" w:rsidRPr="00BF7956" w:rsidRDefault="008E3BA7" w:rsidP="004D5C50">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3</w:t>
            </w:r>
            <w:r w:rsidRPr="00BF7956">
              <w:rPr>
                <w:b/>
                <w:bCs/>
                <w:color w:val="333333"/>
                <w:sz w:val="20"/>
                <w:szCs w:val="20"/>
                <w:lang w:val="it-IT" w:eastAsia="ro-MD"/>
              </w:rPr>
              <w:t>.</w:t>
            </w:r>
            <w:r w:rsidRPr="00BF7956">
              <w:rPr>
                <w:color w:val="333333"/>
                <w:sz w:val="20"/>
                <w:szCs w:val="20"/>
                <w:lang w:val="it-IT" w:eastAsia="ro-MD"/>
              </w:rPr>
              <w:t> Se raportează toate fluxurile contractuale, inclusiv toate fluxurile de numerar semnificative provenite din activități nefinanciare, precum impozitele, bonusurile, dividendele și chiriile.</w:t>
            </w:r>
            <w:r w:rsidR="004D5C50" w:rsidRPr="00BF7956">
              <w:rPr>
                <w:color w:val="333333"/>
                <w:sz w:val="20"/>
                <w:szCs w:val="20"/>
                <w:lang w:val="it-IT" w:eastAsia="ro-MD"/>
              </w:rPr>
              <w:t xml:space="preserve"> Fluxurile de numerar provenite din activităţi nefinanciare se raportează în tranșa de timp corespunzătoare în care devin scadente. Aceste fluxuri de numerar se exclud din formularul privind benzile de scadenţă în cazul în care devin scadente la 5 ani de la data de referinţă a raportării.</w:t>
            </w:r>
          </w:p>
        </w:tc>
        <w:tc>
          <w:tcPr>
            <w:tcW w:w="1418" w:type="dxa"/>
          </w:tcPr>
          <w:p w14:paraId="76285A1F" w14:textId="02C840D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516534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4854938" w14:textId="77777777" w:rsidR="008E3BA7" w:rsidRPr="00BF7956" w:rsidRDefault="008E3BA7" w:rsidP="008E3BA7">
            <w:pPr>
              <w:jc w:val="both"/>
              <w:rPr>
                <w:sz w:val="20"/>
                <w:szCs w:val="20"/>
                <w:lang w:val="ro-RO"/>
              </w:rPr>
            </w:pPr>
          </w:p>
        </w:tc>
        <w:tc>
          <w:tcPr>
            <w:tcW w:w="992" w:type="dxa"/>
          </w:tcPr>
          <w:p w14:paraId="4856CA4D" w14:textId="77777777" w:rsidR="008E3BA7" w:rsidRPr="00BF7956" w:rsidRDefault="008E3BA7" w:rsidP="008E3BA7">
            <w:pPr>
              <w:jc w:val="both"/>
              <w:rPr>
                <w:sz w:val="20"/>
                <w:szCs w:val="20"/>
                <w:lang w:val="ro-RO"/>
              </w:rPr>
            </w:pPr>
          </w:p>
        </w:tc>
      </w:tr>
      <w:tr w:rsidR="008E3BA7" w:rsidRPr="00BF7956" w14:paraId="399E8A77" w14:textId="77777777" w:rsidTr="00C25F84">
        <w:tc>
          <w:tcPr>
            <w:tcW w:w="4576" w:type="dxa"/>
          </w:tcPr>
          <w:p w14:paraId="3BA55FF7" w14:textId="77777777" w:rsidR="008E3BA7" w:rsidRPr="00BF7956" w:rsidRDefault="008E3BA7" w:rsidP="008E3BA7">
            <w:pPr>
              <w:pStyle w:val="CM4"/>
              <w:spacing w:before="60" w:after="60"/>
              <w:rPr>
                <w:color w:val="000000"/>
                <w:sz w:val="20"/>
                <w:szCs w:val="20"/>
              </w:rPr>
            </w:pPr>
            <w:r w:rsidRPr="00BF7956">
              <w:rPr>
                <w:color w:val="000000"/>
                <w:sz w:val="20"/>
                <w:szCs w:val="20"/>
              </w:rPr>
              <w:lastRenderedPageBreak/>
              <w:t xml:space="preserve">12. Pentru ca instituţiile să aplice o abordare prudentă în stabilirea scadenţelor contractuale ale fluxurilor, acestea se asigură că sunt aplicate toate principiile următoare: </w:t>
            </w:r>
          </w:p>
          <w:p w14:paraId="525F5D92" w14:textId="77777777" w:rsidR="008E3BA7" w:rsidRPr="00BF7956" w:rsidRDefault="008E3BA7" w:rsidP="008E3BA7">
            <w:pPr>
              <w:pStyle w:val="CM4"/>
              <w:spacing w:before="60" w:after="60"/>
              <w:rPr>
                <w:color w:val="000000"/>
                <w:sz w:val="20"/>
                <w:szCs w:val="20"/>
              </w:rPr>
            </w:pPr>
            <w:r w:rsidRPr="00BF7956">
              <w:rPr>
                <w:color w:val="000000"/>
                <w:sz w:val="20"/>
                <w:szCs w:val="20"/>
              </w:rPr>
              <w:t xml:space="preserve">(a) atunci când există o opţiune de a amâna plata sau de a primi o plată în avans, această opţiune este prezumată a fi exercitată în cazul în care aceasta ar devansa ieșirile provenite de la instituţie sau ar amâna intrările către instituţie; </w:t>
            </w:r>
          </w:p>
          <w:p w14:paraId="2F9597E3" w14:textId="77777777" w:rsidR="008E3BA7" w:rsidRPr="00BF7956" w:rsidRDefault="008E3BA7" w:rsidP="008E3BA7">
            <w:pPr>
              <w:pStyle w:val="CM4"/>
              <w:spacing w:before="60" w:after="60"/>
              <w:rPr>
                <w:color w:val="000000"/>
                <w:sz w:val="20"/>
                <w:szCs w:val="20"/>
              </w:rPr>
            </w:pPr>
            <w:r w:rsidRPr="00BF7956">
              <w:rPr>
                <w:color w:val="000000"/>
                <w:sz w:val="20"/>
                <w:szCs w:val="20"/>
              </w:rPr>
              <w:t xml:space="preserve">(b) atunci când exercitarea opţiunii de a devansa ieșirile provenite de la instituţie este exclusiv la latitudinea instituţiei, această opţiune este prezumată a fi exercitată numai în cazul în care există o așteptare din partea pieţei ca instituţia să facă acest lucru. Opţiunea este prezumată a nu fi exercitată în cazul în care ar devansa intrările către instituţie sau ar amâna ieșirile provenite de la instituţie. Orice ieșire de numerar care ar fi declanșată contractual de o astfel de intrare, ca în cazul finanţării de tip pass through, se raportează la aceeași dată cu această intrare; </w:t>
            </w:r>
          </w:p>
          <w:p w14:paraId="18F09DE2" w14:textId="5736885F" w:rsidR="008E3BA7" w:rsidRPr="00BF7956" w:rsidRDefault="008E3BA7" w:rsidP="008E3BA7">
            <w:pPr>
              <w:pStyle w:val="CM4"/>
              <w:spacing w:before="60" w:after="60"/>
              <w:rPr>
                <w:color w:val="000000"/>
                <w:sz w:val="20"/>
                <w:szCs w:val="20"/>
              </w:rPr>
            </w:pPr>
            <w:r w:rsidRPr="00BF7956">
              <w:rPr>
                <w:color w:val="000000"/>
                <w:sz w:val="20"/>
                <w:szCs w:val="20"/>
              </w:rPr>
              <w:t xml:space="preserve">(c) toate depozitele la vedere și nescadente se raportează ca overnight în coloana </w:t>
            </w:r>
            <w:r w:rsidR="009F42F6" w:rsidRPr="00BF7956">
              <w:rPr>
                <w:color w:val="000000"/>
                <w:sz w:val="20"/>
                <w:szCs w:val="20"/>
              </w:rPr>
              <w:t>0</w:t>
            </w:r>
            <w:r w:rsidRPr="00BF7956">
              <w:rPr>
                <w:color w:val="000000"/>
                <w:sz w:val="20"/>
                <w:szCs w:val="20"/>
              </w:rPr>
              <w:t>020</w:t>
            </w:r>
            <w:r w:rsidR="009F42F6" w:rsidRPr="00BF7956">
              <w:rPr>
                <w:color w:val="000000"/>
                <w:sz w:val="20"/>
                <w:szCs w:val="20"/>
              </w:rPr>
              <w:t>. În plus, aceste tranzacţii fără o scadenţă precizată contractual se raportează în coloana 0025</w:t>
            </w:r>
            <w:r w:rsidRPr="00BF7956">
              <w:rPr>
                <w:color w:val="000000"/>
                <w:sz w:val="20"/>
                <w:szCs w:val="20"/>
              </w:rPr>
              <w:t xml:space="preserve">; </w:t>
            </w:r>
          </w:p>
          <w:p w14:paraId="61E5A657" w14:textId="77777777" w:rsidR="008E3BA7" w:rsidRPr="00BF7956" w:rsidRDefault="008E3BA7" w:rsidP="008E3BA7">
            <w:pPr>
              <w:pStyle w:val="CM4"/>
              <w:spacing w:before="60" w:after="60"/>
              <w:rPr>
                <w:color w:val="000000"/>
                <w:sz w:val="20"/>
                <w:szCs w:val="20"/>
              </w:rPr>
            </w:pPr>
            <w:r w:rsidRPr="00BF7956">
              <w:rPr>
                <w:color w:val="000000"/>
                <w:sz w:val="20"/>
                <w:szCs w:val="20"/>
              </w:rPr>
              <w:t xml:space="preserve">(d) se consideră că tranzacţiile repo sau reverse repo, precum și alte tranzacţii similare care pot fi reziliate de oricare dintre părţi în orice zi ajung la scadenţă overnight, cu excepţia cazului în care perioada de preaviz este de mai mult de o zi, caz în care trebuie raportate în tranșa de timp relevantă în funcţie de perioada de preaviz; </w:t>
            </w:r>
          </w:p>
          <w:p w14:paraId="422B3D22" w14:textId="77777777" w:rsidR="008E3BA7" w:rsidRPr="00BF7956" w:rsidRDefault="008E3BA7" w:rsidP="008E3BA7">
            <w:pPr>
              <w:pStyle w:val="CM4"/>
              <w:spacing w:before="60" w:after="60"/>
              <w:rPr>
                <w:color w:val="000000"/>
                <w:sz w:val="20"/>
                <w:szCs w:val="20"/>
              </w:rPr>
            </w:pPr>
            <w:r w:rsidRPr="00BF7956">
              <w:rPr>
                <w:color w:val="000000"/>
                <w:sz w:val="20"/>
                <w:szCs w:val="20"/>
              </w:rPr>
              <w:t xml:space="preserve">(e) se consideră că depozitele retail la termen cu o opţiune de retragere anticipată ajung la scadenţă în perioada de timp în care retragerea anticipată a depozitelor nu ar fi penalizată în conformitate cu articolul 25 alineatul (4) litera (b) din Regulamentul delegat (UE) 2015/61; </w:t>
            </w:r>
          </w:p>
          <w:p w14:paraId="44C3E3FF" w14:textId="07EC525D" w:rsidR="008E3BA7" w:rsidRPr="00BF7956" w:rsidRDefault="008E3BA7" w:rsidP="008E3BA7">
            <w:pPr>
              <w:pStyle w:val="CM4"/>
              <w:spacing w:before="60" w:after="60"/>
              <w:rPr>
                <w:i/>
                <w:iCs/>
                <w:color w:val="000000"/>
                <w:sz w:val="20"/>
                <w:szCs w:val="20"/>
                <w:lang w:val="it-IT"/>
              </w:rPr>
            </w:pPr>
            <w:r w:rsidRPr="00BF7956">
              <w:rPr>
                <w:color w:val="000000"/>
                <w:sz w:val="20"/>
                <w:szCs w:val="20"/>
              </w:rPr>
              <w:lastRenderedPageBreak/>
              <w:t xml:space="preserve">(f) în cazul în care instituţia nu are capacitatea de a stabili un grafic minim al plăţilor contractuale pentru un anumit element sau o anumită parte a acestuia în conformitate cu regulile stabilite la prezentul punct, aceasta raportează elementul sau partea acestuia ca fiind mai mare de 5 ani în coloana </w:t>
            </w:r>
            <w:r w:rsidR="009F42F6" w:rsidRPr="00BF7956">
              <w:rPr>
                <w:color w:val="000000"/>
                <w:sz w:val="20"/>
                <w:szCs w:val="20"/>
              </w:rPr>
              <w:t>0</w:t>
            </w:r>
            <w:r w:rsidRPr="00BF7956">
              <w:rPr>
                <w:color w:val="000000"/>
                <w:sz w:val="20"/>
                <w:szCs w:val="20"/>
              </w:rPr>
              <w:t>220.</w:t>
            </w:r>
          </w:p>
        </w:tc>
        <w:tc>
          <w:tcPr>
            <w:tcW w:w="4536" w:type="dxa"/>
            <w:shd w:val="clear" w:color="auto" w:fill="auto"/>
          </w:tcPr>
          <w:p w14:paraId="4E0024AD" w14:textId="434F8D1A"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lastRenderedPageBreak/>
              <w:t>1</w:t>
            </w:r>
            <w:r w:rsidR="002C43F1">
              <w:rPr>
                <w:b/>
                <w:bCs/>
                <w:color w:val="333333"/>
                <w:sz w:val="20"/>
                <w:szCs w:val="20"/>
                <w:lang w:val="it-IT" w:eastAsia="ro-MD"/>
              </w:rPr>
              <w:t>4</w:t>
            </w:r>
            <w:r w:rsidRPr="00BF7956">
              <w:rPr>
                <w:b/>
                <w:bCs/>
                <w:color w:val="333333"/>
                <w:sz w:val="20"/>
                <w:szCs w:val="20"/>
                <w:lang w:val="it-IT" w:eastAsia="ro-MD"/>
              </w:rPr>
              <w:t>.</w:t>
            </w:r>
            <w:r w:rsidRPr="00BF7956">
              <w:rPr>
                <w:color w:val="333333"/>
                <w:sz w:val="20"/>
                <w:szCs w:val="20"/>
                <w:lang w:val="it-IT" w:eastAsia="ro-MD"/>
              </w:rPr>
              <w:t> Pentru ca băncile să aplice o abordare prudentă în stabilirea scadențelor contractuale ale fluxurilor, acestea se asigură că sunt aplicate toate principiile următoare:</w:t>
            </w:r>
          </w:p>
          <w:p w14:paraId="768BEFF7" w14:textId="77777777" w:rsidR="008E3BA7" w:rsidRPr="00BF7956" w:rsidRDefault="008E3BA7" w:rsidP="008E3BA7">
            <w:pPr>
              <w:shd w:val="clear" w:color="auto" w:fill="FFFFFF"/>
              <w:ind w:firstLine="426"/>
              <w:jc w:val="both"/>
              <w:rPr>
                <w:color w:val="333333"/>
                <w:sz w:val="20"/>
                <w:szCs w:val="20"/>
                <w:lang w:val="it-IT" w:eastAsia="ro-MD"/>
              </w:rPr>
            </w:pPr>
            <w:r w:rsidRPr="00BF7956">
              <w:rPr>
                <w:color w:val="333333"/>
                <w:sz w:val="20"/>
                <w:szCs w:val="20"/>
                <w:lang w:val="it-IT" w:eastAsia="ro-MD"/>
              </w:rPr>
              <w:t>(a) atunci când există o opțiune de a amâna plata sau de a primi o plată în avans, această opțiune este prezumată a fi exercitată în cazul în care aceasta ar devansa ieșirile provenite de la bancă sau ar amâna intrările către bancă;</w:t>
            </w:r>
          </w:p>
          <w:p w14:paraId="7181BEE1" w14:textId="77777777" w:rsidR="008E3BA7" w:rsidRPr="00BF7956" w:rsidRDefault="008E3BA7" w:rsidP="008E3BA7">
            <w:pPr>
              <w:shd w:val="clear" w:color="auto" w:fill="FFFFFF"/>
              <w:ind w:firstLine="426"/>
              <w:jc w:val="both"/>
              <w:rPr>
                <w:color w:val="333333"/>
                <w:sz w:val="20"/>
                <w:szCs w:val="20"/>
                <w:lang w:val="it-IT" w:eastAsia="ro-MD"/>
              </w:rPr>
            </w:pPr>
            <w:r w:rsidRPr="00BF7956">
              <w:rPr>
                <w:color w:val="333333"/>
                <w:sz w:val="20"/>
                <w:szCs w:val="20"/>
                <w:lang w:val="it-IT" w:eastAsia="ro-MD"/>
              </w:rPr>
              <w:t>(b) atunci când exercitarea opțiunii de a devansa ieșirile provenite de la bancă este exclusiv la latitudinea băncii, această opțiune este prezumată a fi exercitată numai în cazul în care există o așteptare din partea pieței ca banca să facă acest lucru. Opțiunea este prezumată a nu fi exercitată în cazul în care ar devansa intrările către bancă sau ar amâna ieșirile provenite de la bancă. Orice ieșire de numerar care ar fi declanșată contractual de o astfel de intrare, ca în cazul finanțării de tip pass through, se raportează la aceeași dată cu această intrare;</w:t>
            </w:r>
          </w:p>
          <w:p w14:paraId="1984AA2A" w14:textId="546B76FB" w:rsidR="008E3BA7" w:rsidRPr="00BF7956" w:rsidRDefault="008E3BA7" w:rsidP="008E3BA7">
            <w:pPr>
              <w:shd w:val="clear" w:color="auto" w:fill="FFFFFF"/>
              <w:ind w:firstLine="426"/>
              <w:jc w:val="both"/>
              <w:rPr>
                <w:color w:val="333333"/>
                <w:sz w:val="20"/>
                <w:szCs w:val="20"/>
                <w:lang w:val="it-IT" w:eastAsia="ro-MD"/>
              </w:rPr>
            </w:pPr>
            <w:r w:rsidRPr="00BF7956">
              <w:rPr>
                <w:color w:val="333333"/>
                <w:sz w:val="20"/>
                <w:szCs w:val="20"/>
                <w:lang w:val="it-IT" w:eastAsia="ro-MD"/>
              </w:rPr>
              <w:t>(c) toate depozitele la vedere și nescadente se raportează ca overnight în coloana 0</w:t>
            </w:r>
            <w:r w:rsidR="009F42F6" w:rsidRPr="00BF7956">
              <w:rPr>
                <w:color w:val="333333"/>
                <w:sz w:val="20"/>
                <w:szCs w:val="20"/>
                <w:lang w:val="it-IT" w:eastAsia="ro-MD"/>
              </w:rPr>
              <w:t>0</w:t>
            </w:r>
            <w:r w:rsidRPr="00BF7956">
              <w:rPr>
                <w:color w:val="333333"/>
                <w:sz w:val="20"/>
                <w:szCs w:val="20"/>
                <w:lang w:val="it-IT" w:eastAsia="ro-MD"/>
              </w:rPr>
              <w:t>20</w:t>
            </w:r>
            <w:r w:rsidR="009F42F6" w:rsidRPr="00BF7956">
              <w:rPr>
                <w:color w:val="333333"/>
                <w:sz w:val="20"/>
                <w:szCs w:val="20"/>
                <w:lang w:val="it-IT" w:eastAsia="ro-MD"/>
              </w:rPr>
              <w:t>. În plus, aceste tranzacţii fără o scadenţă precizată contractual se raportează în coloana 0025</w:t>
            </w:r>
            <w:r w:rsidRPr="00BF7956">
              <w:rPr>
                <w:color w:val="333333"/>
                <w:sz w:val="20"/>
                <w:szCs w:val="20"/>
                <w:lang w:val="it-IT" w:eastAsia="ro-MD"/>
              </w:rPr>
              <w:t>;</w:t>
            </w:r>
          </w:p>
          <w:p w14:paraId="1180BA71" w14:textId="77777777" w:rsidR="008E3BA7" w:rsidRPr="00BF7956" w:rsidRDefault="008E3BA7" w:rsidP="008E3BA7">
            <w:pPr>
              <w:shd w:val="clear" w:color="auto" w:fill="FFFFFF"/>
              <w:ind w:firstLine="426"/>
              <w:jc w:val="both"/>
              <w:rPr>
                <w:color w:val="333333"/>
                <w:sz w:val="20"/>
                <w:szCs w:val="20"/>
                <w:lang w:val="it-IT" w:eastAsia="ro-MD"/>
              </w:rPr>
            </w:pPr>
            <w:r w:rsidRPr="00BF7956">
              <w:rPr>
                <w:color w:val="333333"/>
                <w:sz w:val="20"/>
                <w:szCs w:val="20"/>
                <w:lang w:val="it-IT" w:eastAsia="ro-MD"/>
              </w:rPr>
              <w:t>(d) se consideră că tranzacțiile repo sau reverse repo, precum și alte tranzacții similare care pot fi reziliate de oricare dintre părți în orice zi ajung la scadență overnight, cu excepția cazului în care perioada de preaviz este de mai mult de o zi, caz în care trebuie raportate în tranșa de timp relevantă în funcție de perioada de preaviz;</w:t>
            </w:r>
          </w:p>
          <w:p w14:paraId="127D48D6" w14:textId="33E21C85" w:rsidR="008E3BA7" w:rsidRPr="00BF7956" w:rsidRDefault="008E3BA7" w:rsidP="008E3BA7">
            <w:pPr>
              <w:shd w:val="clear" w:color="auto" w:fill="FFFFFF"/>
              <w:ind w:firstLine="426"/>
              <w:jc w:val="both"/>
              <w:rPr>
                <w:color w:val="333333"/>
                <w:sz w:val="20"/>
                <w:szCs w:val="20"/>
                <w:lang w:val="it-IT" w:eastAsia="ro-MD"/>
              </w:rPr>
            </w:pPr>
            <w:r w:rsidRPr="00BF7956">
              <w:rPr>
                <w:color w:val="333333"/>
                <w:sz w:val="20"/>
                <w:szCs w:val="20"/>
                <w:lang w:val="it-IT" w:eastAsia="ro-MD"/>
              </w:rPr>
              <w:t xml:space="preserve">(e) se consideră că depozitele retail la termen cu o opțiune de retragere anticipată ajung la scadență în perioada în care retragerea anticipată a depozitelor nu ar fi penalizată în conformitate cu </w:t>
            </w:r>
            <w:r w:rsidR="009F42F6" w:rsidRPr="00BF7956">
              <w:rPr>
                <w:color w:val="333333"/>
                <w:sz w:val="20"/>
                <w:szCs w:val="20"/>
                <w:lang w:val="it-IT" w:eastAsia="ro-MD"/>
              </w:rPr>
              <w:t xml:space="preserve">punctul </w:t>
            </w:r>
            <w:r w:rsidRPr="00BF7956">
              <w:rPr>
                <w:color w:val="333333"/>
                <w:sz w:val="20"/>
                <w:szCs w:val="20"/>
                <w:lang w:val="it-IT" w:eastAsia="ro-MD"/>
              </w:rPr>
              <w:t>59 subp</w:t>
            </w:r>
            <w:r w:rsidR="009F42F6" w:rsidRPr="00BF7956">
              <w:rPr>
                <w:color w:val="333333"/>
                <w:sz w:val="20"/>
                <w:szCs w:val="20"/>
                <w:lang w:val="it-IT" w:eastAsia="ro-MD"/>
              </w:rPr>
              <w:t xml:space="preserve">unctul </w:t>
            </w:r>
            <w:r w:rsidRPr="00BF7956">
              <w:rPr>
                <w:color w:val="333333"/>
                <w:sz w:val="20"/>
                <w:szCs w:val="20"/>
                <w:lang w:val="it-IT" w:eastAsia="ro-MD"/>
              </w:rPr>
              <w:t>2) din Regulamentul nr.44/2020 privind cerinţele de acoperire a necesarului de lichiditate pentru bănci;</w:t>
            </w:r>
          </w:p>
          <w:p w14:paraId="6B5FEDAA" w14:textId="13ECF7F2" w:rsidR="008E3BA7" w:rsidRPr="00BF7956" w:rsidRDefault="008E3BA7" w:rsidP="008E3BA7">
            <w:pPr>
              <w:shd w:val="clear" w:color="auto" w:fill="FFFFFF"/>
              <w:ind w:firstLine="426"/>
              <w:jc w:val="both"/>
              <w:rPr>
                <w:color w:val="333333"/>
                <w:sz w:val="20"/>
                <w:szCs w:val="20"/>
                <w:lang w:val="it-IT" w:eastAsia="ro-MD"/>
              </w:rPr>
            </w:pPr>
            <w:r w:rsidRPr="00BF7956">
              <w:rPr>
                <w:color w:val="333333"/>
                <w:sz w:val="20"/>
                <w:szCs w:val="20"/>
                <w:lang w:val="it-IT" w:eastAsia="ro-MD"/>
              </w:rPr>
              <w:lastRenderedPageBreak/>
              <w:t xml:space="preserve">(f) în cazul în care banca nu are capacitatea de a stabili un grafic minim al plăților contractuale pentru un anumit element sau o anumită parte a acestuia în conformitate cu regulile stabilite la prezentul punct, aceasta raportează elementul sau partea acestuia ca fiind mai mare de 5 ani în coloana </w:t>
            </w:r>
            <w:r w:rsidR="009F42F6" w:rsidRPr="00BF7956">
              <w:rPr>
                <w:color w:val="333333"/>
                <w:sz w:val="20"/>
                <w:szCs w:val="20"/>
                <w:lang w:val="it-IT" w:eastAsia="ro-MD"/>
              </w:rPr>
              <w:t>0</w:t>
            </w:r>
            <w:r w:rsidRPr="00BF7956">
              <w:rPr>
                <w:color w:val="333333"/>
                <w:sz w:val="20"/>
                <w:szCs w:val="20"/>
                <w:lang w:val="it-IT" w:eastAsia="ro-MD"/>
              </w:rPr>
              <w:t>220.</w:t>
            </w:r>
          </w:p>
          <w:p w14:paraId="2A0E87E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A816438" w14:textId="576BD0EB" w:rsidR="008E3BA7" w:rsidRPr="00BF7956" w:rsidRDefault="008E3BA7" w:rsidP="008E3BA7">
            <w:pPr>
              <w:rPr>
                <w:b/>
                <w:strike/>
                <w:sz w:val="20"/>
                <w:szCs w:val="20"/>
                <w:lang w:val="ro-RO"/>
              </w:rPr>
            </w:pPr>
            <w:r w:rsidRPr="00BF7956">
              <w:rPr>
                <w:bCs/>
                <w:sz w:val="20"/>
                <w:szCs w:val="20"/>
                <w:lang w:val="ro-RO"/>
              </w:rPr>
              <w:lastRenderedPageBreak/>
              <w:t>Compatibil</w:t>
            </w:r>
          </w:p>
        </w:tc>
        <w:tc>
          <w:tcPr>
            <w:tcW w:w="2223" w:type="dxa"/>
          </w:tcPr>
          <w:p w14:paraId="20EE790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7A51232" w14:textId="77777777" w:rsidR="008E3BA7" w:rsidRPr="00BF7956" w:rsidRDefault="008E3BA7" w:rsidP="008E3BA7">
            <w:pPr>
              <w:jc w:val="both"/>
              <w:rPr>
                <w:sz w:val="20"/>
                <w:szCs w:val="20"/>
                <w:lang w:val="ro-RO"/>
              </w:rPr>
            </w:pPr>
          </w:p>
        </w:tc>
        <w:tc>
          <w:tcPr>
            <w:tcW w:w="992" w:type="dxa"/>
          </w:tcPr>
          <w:p w14:paraId="12B80B84" w14:textId="77777777" w:rsidR="008E3BA7" w:rsidRPr="00BF7956" w:rsidRDefault="008E3BA7" w:rsidP="008E3BA7">
            <w:pPr>
              <w:jc w:val="both"/>
              <w:rPr>
                <w:sz w:val="20"/>
                <w:szCs w:val="20"/>
                <w:lang w:val="ro-RO"/>
              </w:rPr>
            </w:pPr>
          </w:p>
        </w:tc>
      </w:tr>
      <w:tr w:rsidR="008E3BA7" w:rsidRPr="00BF7956" w14:paraId="7A5DE1C3" w14:textId="77777777" w:rsidTr="00C25F84">
        <w:tc>
          <w:tcPr>
            <w:tcW w:w="4576" w:type="dxa"/>
          </w:tcPr>
          <w:p w14:paraId="2056D076" w14:textId="2CB11E20" w:rsidR="008E3BA7" w:rsidRPr="00BF7956" w:rsidRDefault="008E3BA7" w:rsidP="008E3BA7">
            <w:pPr>
              <w:pStyle w:val="CM4"/>
              <w:spacing w:before="60" w:after="60"/>
              <w:rPr>
                <w:i/>
                <w:iCs/>
                <w:color w:val="000000"/>
                <w:sz w:val="20"/>
                <w:szCs w:val="20"/>
                <w:lang w:val="it-IT"/>
              </w:rPr>
            </w:pPr>
            <w:r w:rsidRPr="00BF7956">
              <w:rPr>
                <w:color w:val="000000"/>
                <w:sz w:val="20"/>
                <w:szCs w:val="20"/>
              </w:rPr>
              <w:t>14. Operaţiunile de swap valutar scadente reflectă valoarea noţională scadentă a swap-urilor valutare încrucișate, a tranzacţiilor valutare la termen și a contractelor de schimb valutar la vedere nedecontate în tranșele de timp aplicabile din formular.</w:t>
            </w:r>
          </w:p>
        </w:tc>
        <w:tc>
          <w:tcPr>
            <w:tcW w:w="4536" w:type="dxa"/>
            <w:shd w:val="clear" w:color="auto" w:fill="auto"/>
          </w:tcPr>
          <w:p w14:paraId="3D87F6EA" w14:textId="626C7960"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5</w:t>
            </w:r>
            <w:r w:rsidRPr="00BF7956">
              <w:rPr>
                <w:b/>
                <w:bCs/>
                <w:color w:val="333333"/>
                <w:sz w:val="20"/>
                <w:szCs w:val="20"/>
                <w:lang w:val="it-IT" w:eastAsia="ro-MD"/>
              </w:rPr>
              <w:t>.</w:t>
            </w:r>
            <w:r w:rsidRPr="00BF7956">
              <w:rPr>
                <w:color w:val="333333"/>
                <w:sz w:val="20"/>
                <w:szCs w:val="20"/>
                <w:lang w:val="it-IT" w:eastAsia="ro-MD"/>
              </w:rPr>
              <w:t> Operațiunile de swap valutar scadente reflectă valoarea noțională scadentă a swap-urilor valutare încrucișate, a tranzacțiilor valutare la termen și a contractelor de schimb valutar la vedere nedecontate în tranșele de timp aplicabile din formular.</w:t>
            </w:r>
          </w:p>
        </w:tc>
        <w:tc>
          <w:tcPr>
            <w:tcW w:w="1418" w:type="dxa"/>
          </w:tcPr>
          <w:p w14:paraId="241843C1" w14:textId="0A4A5D2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1EC074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6E0D3B0" w14:textId="77777777" w:rsidR="008E3BA7" w:rsidRPr="00BF7956" w:rsidRDefault="008E3BA7" w:rsidP="008E3BA7">
            <w:pPr>
              <w:jc w:val="both"/>
              <w:rPr>
                <w:sz w:val="20"/>
                <w:szCs w:val="20"/>
                <w:lang w:val="ro-RO"/>
              </w:rPr>
            </w:pPr>
          </w:p>
        </w:tc>
        <w:tc>
          <w:tcPr>
            <w:tcW w:w="992" w:type="dxa"/>
          </w:tcPr>
          <w:p w14:paraId="5A25E20D" w14:textId="77777777" w:rsidR="008E3BA7" w:rsidRPr="00BF7956" w:rsidRDefault="008E3BA7" w:rsidP="008E3BA7">
            <w:pPr>
              <w:jc w:val="both"/>
              <w:rPr>
                <w:sz w:val="20"/>
                <w:szCs w:val="20"/>
                <w:lang w:val="ro-RO"/>
              </w:rPr>
            </w:pPr>
          </w:p>
        </w:tc>
      </w:tr>
      <w:tr w:rsidR="008E3BA7" w:rsidRPr="00BF7956" w14:paraId="25E5B950" w14:textId="77777777" w:rsidTr="00C25F84">
        <w:tc>
          <w:tcPr>
            <w:tcW w:w="4576" w:type="dxa"/>
          </w:tcPr>
          <w:p w14:paraId="564B452F" w14:textId="6923543E" w:rsidR="008E3BA7" w:rsidRPr="00BF7956" w:rsidRDefault="008E3BA7" w:rsidP="008E3BA7">
            <w:pPr>
              <w:pStyle w:val="CM4"/>
              <w:spacing w:before="60" w:after="60"/>
              <w:rPr>
                <w:i/>
                <w:iCs/>
                <w:color w:val="000000"/>
                <w:sz w:val="20"/>
                <w:szCs w:val="20"/>
                <w:lang w:val="it-IT"/>
              </w:rPr>
            </w:pPr>
            <w:r w:rsidRPr="00BF7956">
              <w:rPr>
                <w:color w:val="000000"/>
                <w:sz w:val="20"/>
                <w:szCs w:val="20"/>
              </w:rPr>
              <w:t>15. Fluxurile de numerar din tranzacţii nedecontate se raportează, în perioada scurtă anterioară decontării, în rândurile și benzile de scadenţă corespunzătoare.</w:t>
            </w:r>
          </w:p>
        </w:tc>
        <w:tc>
          <w:tcPr>
            <w:tcW w:w="4536" w:type="dxa"/>
            <w:shd w:val="clear" w:color="auto" w:fill="auto"/>
          </w:tcPr>
          <w:p w14:paraId="20A9FC96" w14:textId="2418B846"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6</w:t>
            </w:r>
            <w:r w:rsidRPr="00BF7956">
              <w:rPr>
                <w:b/>
                <w:bCs/>
                <w:color w:val="333333"/>
                <w:sz w:val="20"/>
                <w:szCs w:val="20"/>
                <w:lang w:val="it-IT" w:eastAsia="ro-MD"/>
              </w:rPr>
              <w:t>.</w:t>
            </w:r>
            <w:r w:rsidRPr="00BF7956">
              <w:rPr>
                <w:color w:val="333333"/>
                <w:sz w:val="20"/>
                <w:szCs w:val="20"/>
                <w:lang w:val="it-IT" w:eastAsia="ro-MD"/>
              </w:rPr>
              <w:t> Fluxurile de numerar din tranzacții nedecontate se raportează, în perioada scurtă anterioară decontării, în rândurile și benzile de scadență corespunzătoare.</w:t>
            </w:r>
          </w:p>
        </w:tc>
        <w:tc>
          <w:tcPr>
            <w:tcW w:w="1418" w:type="dxa"/>
          </w:tcPr>
          <w:p w14:paraId="344BB82C" w14:textId="5705CFA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7E533D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F03BB38" w14:textId="77777777" w:rsidR="008E3BA7" w:rsidRPr="00BF7956" w:rsidRDefault="008E3BA7" w:rsidP="008E3BA7">
            <w:pPr>
              <w:jc w:val="both"/>
              <w:rPr>
                <w:sz w:val="20"/>
                <w:szCs w:val="20"/>
                <w:lang w:val="ro-RO"/>
              </w:rPr>
            </w:pPr>
          </w:p>
        </w:tc>
        <w:tc>
          <w:tcPr>
            <w:tcW w:w="992" w:type="dxa"/>
          </w:tcPr>
          <w:p w14:paraId="1D321894" w14:textId="77777777" w:rsidR="008E3BA7" w:rsidRPr="00BF7956" w:rsidRDefault="008E3BA7" w:rsidP="008E3BA7">
            <w:pPr>
              <w:jc w:val="both"/>
              <w:rPr>
                <w:sz w:val="20"/>
                <w:szCs w:val="20"/>
                <w:lang w:val="ro-RO"/>
              </w:rPr>
            </w:pPr>
          </w:p>
        </w:tc>
      </w:tr>
      <w:tr w:rsidR="008E3BA7" w:rsidRPr="00BF7956" w14:paraId="5C352C89" w14:textId="77777777" w:rsidTr="00C25F84">
        <w:tc>
          <w:tcPr>
            <w:tcW w:w="4576" w:type="dxa"/>
          </w:tcPr>
          <w:p w14:paraId="2B024B16" w14:textId="37E13BAE" w:rsidR="008E3BA7" w:rsidRPr="00BF7956" w:rsidRDefault="008E3BA7" w:rsidP="008E3BA7">
            <w:pPr>
              <w:pStyle w:val="CM4"/>
              <w:spacing w:before="60" w:after="60"/>
              <w:rPr>
                <w:i/>
                <w:iCs/>
                <w:color w:val="000000"/>
                <w:sz w:val="20"/>
                <w:szCs w:val="20"/>
                <w:lang w:val="en-US"/>
              </w:rPr>
            </w:pPr>
            <w:r w:rsidRPr="00BF7956">
              <w:rPr>
                <w:color w:val="000000"/>
                <w:sz w:val="20"/>
                <w:szCs w:val="20"/>
              </w:rPr>
              <w:t>16. Punctele corespunzătoare unor elemente pentru care instituţia nu are nicio activitate-suport, cum ar fi cazul în care nu are depozite dintr-o anumită categorie, se lasă necompletate.</w:t>
            </w:r>
          </w:p>
        </w:tc>
        <w:tc>
          <w:tcPr>
            <w:tcW w:w="4536" w:type="dxa"/>
            <w:shd w:val="clear" w:color="auto" w:fill="auto"/>
          </w:tcPr>
          <w:p w14:paraId="6B796FEA" w14:textId="44BCE9C7"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7</w:t>
            </w:r>
            <w:r w:rsidRPr="00BF7956">
              <w:rPr>
                <w:b/>
                <w:bCs/>
                <w:color w:val="333333"/>
                <w:sz w:val="20"/>
                <w:szCs w:val="20"/>
                <w:lang w:val="it-IT" w:eastAsia="ro-MD"/>
              </w:rPr>
              <w:t>.</w:t>
            </w:r>
            <w:r w:rsidRPr="00BF7956">
              <w:rPr>
                <w:color w:val="333333"/>
                <w:sz w:val="20"/>
                <w:szCs w:val="20"/>
                <w:lang w:val="it-IT" w:eastAsia="ro-MD"/>
              </w:rPr>
              <w:t> Punctele corespunzătoare unor elemente pentru care banca nu are nicio activitate-suport, cum ar fi cazul în care nu are depozite dintr-o anumită categorie, se lasă necompletate.</w:t>
            </w:r>
          </w:p>
          <w:p w14:paraId="12074BBC"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CF11C60" w14:textId="14FD289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8DA67B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DCAA7D6" w14:textId="77777777" w:rsidR="008E3BA7" w:rsidRPr="00BF7956" w:rsidRDefault="008E3BA7" w:rsidP="008E3BA7">
            <w:pPr>
              <w:jc w:val="both"/>
              <w:rPr>
                <w:sz w:val="20"/>
                <w:szCs w:val="20"/>
                <w:lang w:val="ro-RO"/>
              </w:rPr>
            </w:pPr>
          </w:p>
        </w:tc>
        <w:tc>
          <w:tcPr>
            <w:tcW w:w="992" w:type="dxa"/>
          </w:tcPr>
          <w:p w14:paraId="22957EFB" w14:textId="77777777" w:rsidR="008E3BA7" w:rsidRPr="00BF7956" w:rsidRDefault="008E3BA7" w:rsidP="008E3BA7">
            <w:pPr>
              <w:jc w:val="both"/>
              <w:rPr>
                <w:sz w:val="20"/>
                <w:szCs w:val="20"/>
                <w:lang w:val="ro-RO"/>
              </w:rPr>
            </w:pPr>
          </w:p>
        </w:tc>
      </w:tr>
      <w:tr w:rsidR="008E3BA7" w:rsidRPr="00BF7956" w14:paraId="04030EF3" w14:textId="77777777" w:rsidTr="00C25F84">
        <w:tc>
          <w:tcPr>
            <w:tcW w:w="4576" w:type="dxa"/>
          </w:tcPr>
          <w:p w14:paraId="289AB6A6" w14:textId="46CDE0A2" w:rsidR="008E3BA7" w:rsidRPr="00BF7956" w:rsidRDefault="008E3BA7" w:rsidP="008E3BA7">
            <w:pPr>
              <w:pStyle w:val="CM4"/>
              <w:spacing w:before="60" w:after="60"/>
              <w:rPr>
                <w:i/>
                <w:iCs/>
                <w:color w:val="000000"/>
                <w:sz w:val="20"/>
                <w:szCs w:val="20"/>
                <w:lang w:val="it-IT"/>
              </w:rPr>
            </w:pPr>
            <w:r w:rsidRPr="00BF7956">
              <w:rPr>
                <w:color w:val="000000"/>
                <w:sz w:val="20"/>
                <w:szCs w:val="20"/>
              </w:rPr>
              <w:t>17. Elementele restante și elementele pentru care instituţia are un motiv să se aștepte la neexecutarea obligaţiilor nu se raportează.</w:t>
            </w:r>
          </w:p>
        </w:tc>
        <w:tc>
          <w:tcPr>
            <w:tcW w:w="4536" w:type="dxa"/>
            <w:shd w:val="clear" w:color="auto" w:fill="auto"/>
          </w:tcPr>
          <w:p w14:paraId="73CEF71D" w14:textId="17C587C4"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8</w:t>
            </w:r>
            <w:r w:rsidRPr="00BF7956">
              <w:rPr>
                <w:b/>
                <w:bCs/>
                <w:color w:val="333333"/>
                <w:sz w:val="20"/>
                <w:szCs w:val="20"/>
                <w:lang w:val="it-IT" w:eastAsia="ro-MD"/>
              </w:rPr>
              <w:t>.</w:t>
            </w:r>
            <w:r w:rsidRPr="00BF7956">
              <w:rPr>
                <w:color w:val="333333"/>
                <w:sz w:val="20"/>
                <w:szCs w:val="20"/>
                <w:lang w:val="it-IT" w:eastAsia="ro-MD"/>
              </w:rPr>
              <w:t> Elementele restante și elementele pentru care banca are un motiv să se aștepte la neexecutarea obligațiilor nu se raportează.</w:t>
            </w:r>
          </w:p>
          <w:p w14:paraId="525DB9D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0B0895C" w14:textId="58AD1F0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F92771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0EFCA7A" w14:textId="77777777" w:rsidR="008E3BA7" w:rsidRPr="00BF7956" w:rsidRDefault="008E3BA7" w:rsidP="008E3BA7">
            <w:pPr>
              <w:jc w:val="both"/>
              <w:rPr>
                <w:sz w:val="20"/>
                <w:szCs w:val="20"/>
                <w:lang w:val="ro-RO"/>
              </w:rPr>
            </w:pPr>
          </w:p>
        </w:tc>
        <w:tc>
          <w:tcPr>
            <w:tcW w:w="992" w:type="dxa"/>
          </w:tcPr>
          <w:p w14:paraId="3A37A6B4" w14:textId="77777777" w:rsidR="008E3BA7" w:rsidRPr="00BF7956" w:rsidRDefault="008E3BA7" w:rsidP="008E3BA7">
            <w:pPr>
              <w:jc w:val="both"/>
              <w:rPr>
                <w:sz w:val="20"/>
                <w:szCs w:val="20"/>
                <w:lang w:val="ro-RO"/>
              </w:rPr>
            </w:pPr>
          </w:p>
        </w:tc>
      </w:tr>
      <w:tr w:rsidR="008E3BA7" w:rsidRPr="00BF7956" w14:paraId="7511DD25" w14:textId="77777777" w:rsidTr="00C25F84">
        <w:tc>
          <w:tcPr>
            <w:tcW w:w="4576" w:type="dxa"/>
          </w:tcPr>
          <w:p w14:paraId="171948FD" w14:textId="7009A096" w:rsidR="008E3BA7" w:rsidRPr="00BF7956" w:rsidRDefault="008E3BA7" w:rsidP="008E3BA7">
            <w:pPr>
              <w:pStyle w:val="CM4"/>
              <w:spacing w:before="60" w:after="60"/>
              <w:rPr>
                <w:i/>
                <w:iCs/>
                <w:color w:val="000000"/>
                <w:sz w:val="20"/>
                <w:szCs w:val="20"/>
                <w:lang w:val="it-IT"/>
              </w:rPr>
            </w:pPr>
            <w:r w:rsidRPr="00BF7956">
              <w:rPr>
                <w:color w:val="000000"/>
                <w:sz w:val="20"/>
                <w:szCs w:val="20"/>
              </w:rPr>
              <w:t>18. În cazul în care garanţiile reale primite sunt reipotecate într-o tranzacţie care ajunge la scadenţă după tranzacţia în cadrul căreia instituţia a primit garanţiile reale, se raportează o ieșire de titluri de valoare egală cu valoarea justă a garanţiilor reale primite în secţiunea privind capacitatea de compensare, în banda relevantă în conformitate cu scadenţa tranzacţiei care a condus la primirea garanţiilor reale.</w:t>
            </w:r>
          </w:p>
        </w:tc>
        <w:tc>
          <w:tcPr>
            <w:tcW w:w="4536" w:type="dxa"/>
            <w:shd w:val="clear" w:color="auto" w:fill="auto"/>
          </w:tcPr>
          <w:p w14:paraId="4011C383" w14:textId="71A95930" w:rsidR="008E3BA7" w:rsidRPr="00BF7956" w:rsidRDefault="008E3BA7" w:rsidP="008E3BA7">
            <w:pPr>
              <w:shd w:val="clear" w:color="auto" w:fill="FFFFFF"/>
              <w:spacing w:before="120"/>
              <w:jc w:val="both"/>
              <w:rPr>
                <w:color w:val="333333"/>
                <w:sz w:val="20"/>
                <w:szCs w:val="20"/>
                <w:lang w:val="it-IT" w:eastAsia="ro-MD"/>
              </w:rPr>
            </w:pPr>
            <w:r w:rsidRPr="00BF7956">
              <w:rPr>
                <w:b/>
                <w:bCs/>
                <w:color w:val="333333"/>
                <w:sz w:val="20"/>
                <w:szCs w:val="20"/>
                <w:lang w:val="it-IT" w:eastAsia="ro-MD"/>
              </w:rPr>
              <w:t>1</w:t>
            </w:r>
            <w:r w:rsidR="002C43F1">
              <w:rPr>
                <w:b/>
                <w:bCs/>
                <w:color w:val="333333"/>
                <w:sz w:val="20"/>
                <w:szCs w:val="20"/>
                <w:lang w:val="it-IT" w:eastAsia="ro-MD"/>
              </w:rPr>
              <w:t>9</w:t>
            </w:r>
            <w:r w:rsidRPr="00BF7956">
              <w:rPr>
                <w:b/>
                <w:bCs/>
                <w:color w:val="333333"/>
                <w:sz w:val="20"/>
                <w:szCs w:val="20"/>
                <w:lang w:val="it-IT" w:eastAsia="ro-MD"/>
              </w:rPr>
              <w:t>.</w:t>
            </w:r>
            <w:r w:rsidRPr="00BF7956">
              <w:rPr>
                <w:color w:val="333333"/>
                <w:sz w:val="20"/>
                <w:szCs w:val="20"/>
                <w:lang w:val="it-IT" w:eastAsia="ro-MD"/>
              </w:rPr>
              <w:t> În cazul în care garanțiile reale primite sunt reipotecate într-o tranzacție care ajunge la scadență după tranzacția în cadrul căreia banca a primit garanțiile reale, se raportează o ieșire de titluri de valoare egală cu valoarea justă a garanțiilor reale primite în secțiunea privind capacitatea de compensare, în banda relevantă în conformitate cu scadența tranzacției care a condus la primirea garanțiilor reale.</w:t>
            </w:r>
          </w:p>
        </w:tc>
        <w:tc>
          <w:tcPr>
            <w:tcW w:w="1418" w:type="dxa"/>
          </w:tcPr>
          <w:p w14:paraId="04865BE0" w14:textId="048BE7E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17F475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AE09976" w14:textId="77777777" w:rsidR="008E3BA7" w:rsidRPr="00BF7956" w:rsidRDefault="008E3BA7" w:rsidP="008E3BA7">
            <w:pPr>
              <w:jc w:val="both"/>
              <w:rPr>
                <w:sz w:val="20"/>
                <w:szCs w:val="20"/>
                <w:lang w:val="ro-RO"/>
              </w:rPr>
            </w:pPr>
          </w:p>
        </w:tc>
        <w:tc>
          <w:tcPr>
            <w:tcW w:w="992" w:type="dxa"/>
          </w:tcPr>
          <w:p w14:paraId="156C414D" w14:textId="77777777" w:rsidR="008E3BA7" w:rsidRPr="00BF7956" w:rsidRDefault="008E3BA7" w:rsidP="008E3BA7">
            <w:pPr>
              <w:jc w:val="both"/>
              <w:rPr>
                <w:sz w:val="20"/>
                <w:szCs w:val="20"/>
                <w:lang w:val="ro-RO"/>
              </w:rPr>
            </w:pPr>
          </w:p>
        </w:tc>
      </w:tr>
      <w:tr w:rsidR="009F42F6" w:rsidRPr="002C43F1" w14:paraId="55BA64A4" w14:textId="77777777" w:rsidTr="00C25F84">
        <w:tc>
          <w:tcPr>
            <w:tcW w:w="4576" w:type="dxa"/>
          </w:tcPr>
          <w:p w14:paraId="69F0BE13" w14:textId="09E88865" w:rsidR="009F42F6" w:rsidRPr="00BF7956" w:rsidRDefault="009F42F6" w:rsidP="008E3BA7">
            <w:pPr>
              <w:pStyle w:val="CM4"/>
              <w:spacing w:before="60" w:after="60"/>
              <w:rPr>
                <w:color w:val="000000"/>
                <w:sz w:val="20"/>
                <w:szCs w:val="20"/>
              </w:rPr>
            </w:pPr>
            <w:r w:rsidRPr="00BF7956">
              <w:rPr>
                <w:color w:val="000000"/>
                <w:sz w:val="20"/>
                <w:szCs w:val="20"/>
              </w:rPr>
              <w:t xml:space="preserve">19. În cazul în care, în conformitate cu articolul 16 din Regulamentul delegat (UE) 2015/61, depozitele la </w:t>
            </w:r>
            <w:r w:rsidRPr="00BF7956">
              <w:rPr>
                <w:color w:val="000000"/>
                <w:sz w:val="20"/>
                <w:szCs w:val="20"/>
              </w:rPr>
              <w:lastRenderedPageBreak/>
              <w:t>vedere pe care instituţia de credit raportoare le menţine la instituţia centrală sunt tratate ca active lichide, depozitele la vedere trebuie tratate ca intrări interbancare contractuale în formularul privind benzile de scadenţă.</w:t>
            </w:r>
          </w:p>
        </w:tc>
        <w:tc>
          <w:tcPr>
            <w:tcW w:w="4536" w:type="dxa"/>
            <w:shd w:val="clear" w:color="auto" w:fill="auto"/>
          </w:tcPr>
          <w:p w14:paraId="53B8C029" w14:textId="77777777" w:rsidR="009F42F6" w:rsidRPr="00BF7956" w:rsidRDefault="009F42F6" w:rsidP="008E3BA7">
            <w:pPr>
              <w:shd w:val="clear" w:color="auto" w:fill="FFFFFF"/>
              <w:spacing w:before="120"/>
              <w:jc w:val="both"/>
              <w:rPr>
                <w:b/>
                <w:bCs/>
                <w:color w:val="333333"/>
                <w:sz w:val="20"/>
                <w:szCs w:val="20"/>
                <w:lang w:val="it-IT" w:eastAsia="ro-MD"/>
              </w:rPr>
            </w:pPr>
          </w:p>
        </w:tc>
        <w:tc>
          <w:tcPr>
            <w:tcW w:w="1418" w:type="dxa"/>
          </w:tcPr>
          <w:p w14:paraId="71B0B5E4" w14:textId="0A218F1A" w:rsidR="009F42F6" w:rsidRPr="00BF7956" w:rsidRDefault="009F42F6" w:rsidP="008E3BA7">
            <w:pPr>
              <w:rPr>
                <w:bCs/>
                <w:sz w:val="20"/>
                <w:szCs w:val="20"/>
                <w:lang w:val="ro-RO"/>
              </w:rPr>
            </w:pPr>
            <w:r w:rsidRPr="00BF7956">
              <w:rPr>
                <w:sz w:val="20"/>
                <w:szCs w:val="20"/>
              </w:rPr>
              <w:t>Necompatibil</w:t>
            </w:r>
          </w:p>
        </w:tc>
        <w:tc>
          <w:tcPr>
            <w:tcW w:w="2223" w:type="dxa"/>
          </w:tcPr>
          <w:p w14:paraId="233ED33B" w14:textId="6B9F9E02" w:rsidR="009F42F6" w:rsidRPr="00BF7956" w:rsidRDefault="009F42F6" w:rsidP="009F42F6">
            <w:pPr>
              <w:rPr>
                <w:sz w:val="20"/>
                <w:szCs w:val="20"/>
                <w:lang w:val="ro-RO"/>
              </w:rPr>
            </w:pPr>
            <w:r w:rsidRPr="00BF7956">
              <w:rPr>
                <w:sz w:val="20"/>
                <w:szCs w:val="20"/>
                <w:lang w:val="ro-RO"/>
              </w:rPr>
              <w:t xml:space="preserve">Prevederile aferente rețelelor cooperatiste și </w:t>
            </w:r>
            <w:r w:rsidRPr="00BF7956">
              <w:rPr>
                <w:sz w:val="20"/>
                <w:szCs w:val="20"/>
                <w:lang w:val="ro-RO"/>
              </w:rPr>
              <w:lastRenderedPageBreak/>
              <w:t>sistemelor instituționale de protecție nu au fost transpuse din RD 2015/61 deoarece astfel de rețele /instituții lipsesc pe piața Republicii Moldova.</w:t>
            </w:r>
          </w:p>
        </w:tc>
        <w:tc>
          <w:tcPr>
            <w:tcW w:w="1134" w:type="dxa"/>
            <w:tcBorders>
              <w:top w:val="single" w:sz="4" w:space="0" w:color="auto"/>
              <w:bottom w:val="single" w:sz="4" w:space="0" w:color="auto"/>
            </w:tcBorders>
          </w:tcPr>
          <w:p w14:paraId="3C3A4B63" w14:textId="77777777" w:rsidR="009F42F6" w:rsidRPr="00BF7956" w:rsidRDefault="009F42F6" w:rsidP="008E3BA7">
            <w:pPr>
              <w:jc w:val="both"/>
              <w:rPr>
                <w:sz w:val="20"/>
                <w:szCs w:val="20"/>
                <w:lang w:val="ro-RO"/>
              </w:rPr>
            </w:pPr>
          </w:p>
        </w:tc>
        <w:tc>
          <w:tcPr>
            <w:tcW w:w="992" w:type="dxa"/>
          </w:tcPr>
          <w:p w14:paraId="236ADD59" w14:textId="77777777" w:rsidR="009F42F6" w:rsidRPr="00BF7956" w:rsidRDefault="009F42F6" w:rsidP="008E3BA7">
            <w:pPr>
              <w:jc w:val="both"/>
              <w:rPr>
                <w:sz w:val="20"/>
                <w:szCs w:val="20"/>
                <w:lang w:val="ro-RO"/>
              </w:rPr>
            </w:pPr>
          </w:p>
        </w:tc>
      </w:tr>
      <w:tr w:rsidR="008E3BA7" w:rsidRPr="00BF7956" w14:paraId="3844B984" w14:textId="77777777" w:rsidTr="00C25F84">
        <w:tc>
          <w:tcPr>
            <w:tcW w:w="4576" w:type="dxa"/>
          </w:tcPr>
          <w:p w14:paraId="5B8654AB" w14:textId="2F3941FE" w:rsidR="008E3BA7" w:rsidRPr="00BF7956" w:rsidRDefault="009F42F6" w:rsidP="008E3BA7">
            <w:pPr>
              <w:pStyle w:val="CM4"/>
              <w:spacing w:before="60" w:after="60"/>
              <w:rPr>
                <w:i/>
                <w:iCs/>
                <w:color w:val="000000"/>
                <w:sz w:val="20"/>
                <w:szCs w:val="20"/>
                <w:lang w:val="it-IT"/>
              </w:rPr>
            </w:pPr>
            <w:r w:rsidRPr="00BF7956">
              <w:rPr>
                <w:color w:val="000000"/>
                <w:sz w:val="20"/>
                <w:szCs w:val="20"/>
              </w:rPr>
              <w:t>20</w:t>
            </w:r>
            <w:r w:rsidR="008E3BA7" w:rsidRPr="00BF7956">
              <w:rPr>
                <w:color w:val="000000"/>
                <w:sz w:val="20"/>
                <w:szCs w:val="20"/>
              </w:rPr>
              <w:t>. Elementele intragrup nu afectează raportarea pe bază consolidată.</w:t>
            </w:r>
          </w:p>
        </w:tc>
        <w:tc>
          <w:tcPr>
            <w:tcW w:w="4536" w:type="dxa"/>
            <w:shd w:val="clear" w:color="auto" w:fill="auto"/>
          </w:tcPr>
          <w:p w14:paraId="4B6B048E" w14:textId="6A757202" w:rsidR="008E3BA7" w:rsidRPr="00BF7956" w:rsidRDefault="002C43F1" w:rsidP="008E3BA7">
            <w:pPr>
              <w:shd w:val="clear" w:color="auto" w:fill="FFFFFF"/>
              <w:spacing w:before="120"/>
              <w:jc w:val="both"/>
              <w:rPr>
                <w:b/>
                <w:bCs/>
                <w:sz w:val="20"/>
                <w:szCs w:val="20"/>
                <w:lang w:val="it-IT" w:eastAsia="ro-MD"/>
              </w:rPr>
            </w:pPr>
            <w:r>
              <w:rPr>
                <w:b/>
                <w:bCs/>
                <w:color w:val="333333"/>
                <w:sz w:val="20"/>
                <w:szCs w:val="20"/>
                <w:lang w:val="it-IT" w:eastAsia="ro-MD"/>
              </w:rPr>
              <w:t>20</w:t>
            </w:r>
            <w:r w:rsidR="008E3BA7" w:rsidRPr="00BF7956">
              <w:rPr>
                <w:b/>
                <w:bCs/>
                <w:color w:val="333333"/>
                <w:sz w:val="20"/>
                <w:szCs w:val="20"/>
                <w:lang w:val="it-IT" w:eastAsia="ro-MD"/>
              </w:rPr>
              <w:t>.</w:t>
            </w:r>
            <w:r w:rsidR="008E3BA7" w:rsidRPr="00BF7956">
              <w:rPr>
                <w:color w:val="333333"/>
                <w:sz w:val="20"/>
                <w:szCs w:val="20"/>
                <w:lang w:val="it-IT" w:eastAsia="ro-MD"/>
              </w:rPr>
              <w:t> Elementele intragrup nu afectează raportarea pe bază consolidată.</w:t>
            </w:r>
          </w:p>
        </w:tc>
        <w:tc>
          <w:tcPr>
            <w:tcW w:w="1418" w:type="dxa"/>
          </w:tcPr>
          <w:p w14:paraId="639A8CA8" w14:textId="064C174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B12F76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1A9F33F" w14:textId="77777777" w:rsidR="008E3BA7" w:rsidRPr="00BF7956" w:rsidRDefault="008E3BA7" w:rsidP="008E3BA7">
            <w:pPr>
              <w:jc w:val="both"/>
              <w:rPr>
                <w:sz w:val="20"/>
                <w:szCs w:val="20"/>
                <w:lang w:val="ro-RO"/>
              </w:rPr>
            </w:pPr>
          </w:p>
        </w:tc>
        <w:tc>
          <w:tcPr>
            <w:tcW w:w="992" w:type="dxa"/>
          </w:tcPr>
          <w:p w14:paraId="4FE5A701" w14:textId="77777777" w:rsidR="008E3BA7" w:rsidRPr="00BF7956" w:rsidRDefault="008E3BA7" w:rsidP="008E3BA7">
            <w:pPr>
              <w:jc w:val="both"/>
              <w:rPr>
                <w:sz w:val="20"/>
                <w:szCs w:val="20"/>
                <w:lang w:val="ro-RO"/>
              </w:rPr>
            </w:pPr>
          </w:p>
        </w:tc>
      </w:tr>
      <w:tr w:rsidR="009F42F6" w:rsidRPr="00BF7956" w14:paraId="040DB4D7" w14:textId="77777777" w:rsidTr="00C25F84">
        <w:tc>
          <w:tcPr>
            <w:tcW w:w="4576" w:type="dxa"/>
          </w:tcPr>
          <w:p w14:paraId="626420B1" w14:textId="65D71DB7" w:rsidR="009F42F6" w:rsidRPr="00BF7956" w:rsidRDefault="009F42F6" w:rsidP="008E3BA7">
            <w:pPr>
              <w:pStyle w:val="CM4"/>
              <w:spacing w:before="60" w:after="60"/>
              <w:rPr>
                <w:color w:val="000000"/>
                <w:sz w:val="20"/>
                <w:szCs w:val="20"/>
              </w:rPr>
            </w:pPr>
            <w:r w:rsidRPr="00BF7956">
              <w:rPr>
                <w:color w:val="000000"/>
                <w:sz w:val="20"/>
                <w:szCs w:val="20"/>
              </w:rPr>
              <w:t>21. Partea care nu poate fi retrasă din rezervele la bănci centrale nu trebuie raportată nicăieri în formular.</w:t>
            </w:r>
          </w:p>
        </w:tc>
        <w:tc>
          <w:tcPr>
            <w:tcW w:w="4536" w:type="dxa"/>
            <w:shd w:val="clear" w:color="auto" w:fill="auto"/>
          </w:tcPr>
          <w:p w14:paraId="36470157" w14:textId="4334443A" w:rsidR="009F42F6" w:rsidRPr="00BF7956" w:rsidRDefault="009F42F6" w:rsidP="008E3BA7">
            <w:pPr>
              <w:shd w:val="clear" w:color="auto" w:fill="FFFFFF"/>
              <w:spacing w:before="120"/>
              <w:jc w:val="both"/>
              <w:rPr>
                <w:b/>
                <w:bCs/>
                <w:color w:val="333333"/>
                <w:sz w:val="20"/>
                <w:szCs w:val="20"/>
                <w:lang w:val="it-IT" w:eastAsia="ro-MD"/>
              </w:rPr>
            </w:pPr>
            <w:r w:rsidRPr="00BF7956">
              <w:rPr>
                <w:b/>
                <w:bCs/>
                <w:color w:val="333333"/>
                <w:sz w:val="20"/>
                <w:szCs w:val="20"/>
                <w:lang w:val="it-IT" w:eastAsia="ro-MD"/>
              </w:rPr>
              <w:t>2</w:t>
            </w:r>
            <w:r w:rsidR="002C43F1">
              <w:rPr>
                <w:b/>
                <w:bCs/>
                <w:color w:val="333333"/>
                <w:sz w:val="20"/>
                <w:szCs w:val="20"/>
                <w:lang w:val="it-IT" w:eastAsia="ro-MD"/>
              </w:rPr>
              <w:t>1</w:t>
            </w:r>
            <w:r w:rsidRPr="00BF7956">
              <w:rPr>
                <w:b/>
                <w:bCs/>
                <w:color w:val="333333"/>
                <w:sz w:val="20"/>
                <w:szCs w:val="20"/>
                <w:lang w:val="it-IT" w:eastAsia="ro-MD"/>
              </w:rPr>
              <w:t xml:space="preserve">. </w:t>
            </w:r>
            <w:r w:rsidRPr="00BF7956">
              <w:rPr>
                <w:color w:val="333333"/>
                <w:sz w:val="20"/>
                <w:szCs w:val="20"/>
                <w:lang w:val="it-IT" w:eastAsia="ro-MD"/>
              </w:rPr>
              <w:t xml:space="preserve">Partea care nu poate fi retrasă din rezervele la bănci centrale nu </w:t>
            </w:r>
            <w:r w:rsidR="002C43F1">
              <w:rPr>
                <w:color w:val="333333"/>
                <w:sz w:val="20"/>
                <w:szCs w:val="20"/>
                <w:lang w:val="it-IT" w:eastAsia="ro-MD"/>
              </w:rPr>
              <w:t xml:space="preserve">se raportează </w:t>
            </w:r>
            <w:r w:rsidRPr="00BF7956">
              <w:rPr>
                <w:color w:val="333333"/>
                <w:sz w:val="20"/>
                <w:szCs w:val="20"/>
                <w:lang w:val="it-IT" w:eastAsia="ro-MD"/>
              </w:rPr>
              <w:t>în formular.</w:t>
            </w:r>
          </w:p>
        </w:tc>
        <w:tc>
          <w:tcPr>
            <w:tcW w:w="1418" w:type="dxa"/>
          </w:tcPr>
          <w:p w14:paraId="5D0B34AE" w14:textId="04C2CD1F" w:rsidR="009F42F6" w:rsidRPr="00BF7956" w:rsidRDefault="009F42F6" w:rsidP="008E3BA7">
            <w:pPr>
              <w:rPr>
                <w:bCs/>
                <w:sz w:val="20"/>
                <w:szCs w:val="20"/>
                <w:lang w:val="ro-RO"/>
              </w:rPr>
            </w:pPr>
            <w:r w:rsidRPr="00BF7956">
              <w:rPr>
                <w:bCs/>
                <w:sz w:val="20"/>
                <w:szCs w:val="20"/>
                <w:lang w:val="ro-RO"/>
              </w:rPr>
              <w:t>Compatibil</w:t>
            </w:r>
          </w:p>
        </w:tc>
        <w:tc>
          <w:tcPr>
            <w:tcW w:w="2223" w:type="dxa"/>
          </w:tcPr>
          <w:p w14:paraId="11F0DB65" w14:textId="77777777" w:rsidR="009F42F6" w:rsidRPr="00BF7956" w:rsidRDefault="009F42F6" w:rsidP="008E3BA7">
            <w:pPr>
              <w:jc w:val="both"/>
              <w:rPr>
                <w:sz w:val="20"/>
                <w:szCs w:val="20"/>
                <w:lang w:val="ro-RO"/>
              </w:rPr>
            </w:pPr>
          </w:p>
        </w:tc>
        <w:tc>
          <w:tcPr>
            <w:tcW w:w="1134" w:type="dxa"/>
            <w:tcBorders>
              <w:top w:val="single" w:sz="4" w:space="0" w:color="auto"/>
              <w:bottom w:val="single" w:sz="4" w:space="0" w:color="auto"/>
            </w:tcBorders>
          </w:tcPr>
          <w:p w14:paraId="601D5F8C" w14:textId="77777777" w:rsidR="009F42F6" w:rsidRPr="00BF7956" w:rsidRDefault="009F42F6" w:rsidP="008E3BA7">
            <w:pPr>
              <w:jc w:val="both"/>
              <w:rPr>
                <w:sz w:val="20"/>
                <w:szCs w:val="20"/>
                <w:lang w:val="ro-RO"/>
              </w:rPr>
            </w:pPr>
          </w:p>
        </w:tc>
        <w:tc>
          <w:tcPr>
            <w:tcW w:w="992" w:type="dxa"/>
          </w:tcPr>
          <w:p w14:paraId="61E75DFE" w14:textId="77777777" w:rsidR="009F42F6" w:rsidRPr="00BF7956" w:rsidRDefault="009F42F6" w:rsidP="008E3BA7">
            <w:pPr>
              <w:jc w:val="both"/>
              <w:rPr>
                <w:sz w:val="20"/>
                <w:szCs w:val="20"/>
                <w:lang w:val="ro-RO"/>
              </w:rPr>
            </w:pPr>
          </w:p>
        </w:tc>
      </w:tr>
      <w:tr w:rsidR="008E3BA7" w:rsidRPr="00BF7956" w14:paraId="2B53A948" w14:textId="77777777" w:rsidTr="00C25F84">
        <w:tc>
          <w:tcPr>
            <w:tcW w:w="4576" w:type="dxa"/>
          </w:tcPr>
          <w:p w14:paraId="32AE2F78" w14:textId="4965D306" w:rsidR="008E3BA7" w:rsidRPr="00BF7956" w:rsidRDefault="008E3BA7" w:rsidP="008E3BA7">
            <w:pPr>
              <w:pStyle w:val="CM4"/>
              <w:spacing w:before="60" w:after="60"/>
              <w:rPr>
                <w:i/>
                <w:iCs/>
                <w:color w:val="000000"/>
                <w:sz w:val="20"/>
                <w:szCs w:val="20"/>
              </w:rPr>
            </w:pPr>
            <w:r w:rsidRPr="00BF7956">
              <w:rPr>
                <w:b/>
                <w:bCs/>
                <w:color w:val="000000"/>
                <w:sz w:val="20"/>
                <w:szCs w:val="20"/>
              </w:rPr>
              <w:t>PARTEA II: INSTRUCŢIUNI PENTRU ANUMITE RÂNDURI</w:t>
            </w:r>
          </w:p>
          <w:tbl>
            <w:tblPr>
              <w:tblStyle w:val="TableGrid"/>
              <w:tblW w:w="4394" w:type="dxa"/>
              <w:tblLayout w:type="fixed"/>
              <w:tblLook w:val="04A0" w:firstRow="1" w:lastRow="0" w:firstColumn="1" w:lastColumn="0" w:noHBand="0" w:noVBand="1"/>
            </w:tblPr>
            <w:tblGrid>
              <w:gridCol w:w="575"/>
              <w:gridCol w:w="3819"/>
            </w:tblGrid>
            <w:tr w:rsidR="008E3BA7" w:rsidRPr="00BF7956" w14:paraId="7AA86C73" w14:textId="77777777" w:rsidTr="00991692">
              <w:tc>
                <w:tcPr>
                  <w:tcW w:w="575" w:type="dxa"/>
                </w:tcPr>
                <w:p w14:paraId="50903EB8" w14:textId="132A954F" w:rsidR="008E3BA7" w:rsidRPr="00BF7956" w:rsidRDefault="008E3BA7" w:rsidP="00410ADE">
                  <w:pPr>
                    <w:pStyle w:val="CM4"/>
                    <w:framePr w:hSpace="180" w:wrap="around" w:vAnchor="text" w:hAnchor="margin" w:y="137"/>
                    <w:spacing w:before="60" w:after="60"/>
                    <w:rPr>
                      <w:i/>
                      <w:iCs/>
                      <w:color w:val="000000"/>
                      <w:sz w:val="20"/>
                      <w:szCs w:val="20"/>
                    </w:rPr>
                  </w:pPr>
                  <w:r w:rsidRPr="00BF7956">
                    <w:rPr>
                      <w:color w:val="000000"/>
                      <w:sz w:val="20"/>
                      <w:szCs w:val="20"/>
                    </w:rPr>
                    <w:t>Rând</w:t>
                  </w:r>
                </w:p>
              </w:tc>
              <w:tc>
                <w:tcPr>
                  <w:tcW w:w="3819" w:type="dxa"/>
                </w:tcPr>
                <w:p w14:paraId="48C2F7C7" w14:textId="5FDF80B8" w:rsidR="008E3BA7" w:rsidRPr="00BF7956" w:rsidRDefault="008E3BA7" w:rsidP="00410ADE">
                  <w:pPr>
                    <w:pStyle w:val="CM4"/>
                    <w:framePr w:hSpace="180" w:wrap="around" w:vAnchor="text" w:hAnchor="margin" w:y="137"/>
                    <w:spacing w:before="60" w:after="60"/>
                    <w:rPr>
                      <w:i/>
                      <w:iCs/>
                      <w:color w:val="000000"/>
                      <w:sz w:val="20"/>
                      <w:szCs w:val="20"/>
                    </w:rPr>
                  </w:pPr>
                  <w:r w:rsidRPr="00BF7956">
                    <w:rPr>
                      <w:color w:val="000000"/>
                      <w:sz w:val="20"/>
                      <w:szCs w:val="20"/>
                    </w:rPr>
                    <w:t>Referinţe juridice și instrucţiuni</w:t>
                  </w:r>
                </w:p>
              </w:tc>
            </w:tr>
            <w:tr w:rsidR="008E3BA7" w:rsidRPr="002C43F1" w14:paraId="4F3CED88" w14:textId="77777777" w:rsidTr="00991692">
              <w:tc>
                <w:tcPr>
                  <w:tcW w:w="575" w:type="dxa"/>
                </w:tcPr>
                <w:p w14:paraId="2A556BD8" w14:textId="6DEB477B" w:rsidR="008E3BA7" w:rsidRPr="00BF7956" w:rsidRDefault="008E3BA7" w:rsidP="00410ADE">
                  <w:pPr>
                    <w:pStyle w:val="CM4"/>
                    <w:framePr w:hSpace="180" w:wrap="around" w:vAnchor="text" w:hAnchor="margin" w:y="137"/>
                    <w:spacing w:before="60" w:after="60"/>
                    <w:rPr>
                      <w:i/>
                      <w:iCs/>
                      <w:color w:val="000000"/>
                      <w:sz w:val="20"/>
                      <w:szCs w:val="20"/>
                    </w:rPr>
                  </w:pPr>
                  <w:r w:rsidRPr="00BF7956">
                    <w:rPr>
                      <w:b/>
                      <w:bCs/>
                      <w:color w:val="000000"/>
                      <w:sz w:val="20"/>
                      <w:szCs w:val="20"/>
                    </w:rPr>
                    <w:t>0</w:t>
                  </w:r>
                  <w:r w:rsidR="00F35089" w:rsidRPr="00BF7956">
                    <w:rPr>
                      <w:b/>
                      <w:bCs/>
                      <w:color w:val="000000"/>
                      <w:sz w:val="20"/>
                      <w:szCs w:val="20"/>
                    </w:rPr>
                    <w:t>0</w:t>
                  </w:r>
                  <w:r w:rsidRPr="00BF7956">
                    <w:rPr>
                      <w:b/>
                      <w:bCs/>
                      <w:color w:val="000000"/>
                      <w:sz w:val="20"/>
                      <w:szCs w:val="20"/>
                    </w:rPr>
                    <w:t xml:space="preserve">10 până la </w:t>
                  </w:r>
                  <w:r w:rsidR="00F35089" w:rsidRPr="00BF7956">
                    <w:rPr>
                      <w:b/>
                      <w:bCs/>
                      <w:color w:val="000000"/>
                      <w:sz w:val="20"/>
                      <w:szCs w:val="20"/>
                    </w:rPr>
                    <w:t>0</w:t>
                  </w:r>
                  <w:r w:rsidRPr="00BF7956">
                    <w:rPr>
                      <w:b/>
                      <w:bCs/>
                      <w:color w:val="000000"/>
                      <w:sz w:val="20"/>
                      <w:szCs w:val="20"/>
                    </w:rPr>
                    <w:t>380</w:t>
                  </w:r>
                </w:p>
              </w:tc>
              <w:tc>
                <w:tcPr>
                  <w:tcW w:w="3819" w:type="dxa"/>
                </w:tcPr>
                <w:p w14:paraId="450EBEBD" w14:textId="77777777" w:rsidR="008E3BA7" w:rsidRPr="00BF7956" w:rsidRDefault="008E3BA7" w:rsidP="00410ADE">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IEȘIRI </w:t>
                  </w:r>
                </w:p>
                <w:p w14:paraId="2A16FEE2" w14:textId="71AE415F" w:rsidR="008E3BA7" w:rsidRPr="00BF7956" w:rsidRDefault="008E3BA7" w:rsidP="00410ADE">
                  <w:pPr>
                    <w:pStyle w:val="CM4"/>
                    <w:framePr w:hSpace="180" w:wrap="around" w:vAnchor="text" w:hAnchor="margin" w:y="137"/>
                    <w:spacing w:before="60" w:after="60"/>
                    <w:rPr>
                      <w:i/>
                      <w:iCs/>
                      <w:color w:val="000000"/>
                      <w:sz w:val="20"/>
                      <w:szCs w:val="20"/>
                    </w:rPr>
                  </w:pPr>
                  <w:r w:rsidRPr="00BF7956">
                    <w:rPr>
                      <w:color w:val="000000"/>
                      <w:sz w:val="20"/>
                      <w:szCs w:val="20"/>
                    </w:rPr>
                    <w:t>Cuantumul total al ieșirilor de numerar se raportează la următoarele subcategorii:</w:t>
                  </w:r>
                </w:p>
              </w:tc>
            </w:tr>
          </w:tbl>
          <w:p w14:paraId="7381F5EF" w14:textId="26B02513" w:rsidR="008E3BA7" w:rsidRPr="00BF7956" w:rsidRDefault="008E3BA7" w:rsidP="008E3BA7">
            <w:pPr>
              <w:pStyle w:val="CM4"/>
              <w:spacing w:before="60" w:after="60"/>
              <w:rPr>
                <w:i/>
                <w:iCs/>
                <w:color w:val="000000"/>
                <w:sz w:val="20"/>
                <w:szCs w:val="20"/>
              </w:rPr>
            </w:pPr>
          </w:p>
        </w:tc>
        <w:tc>
          <w:tcPr>
            <w:tcW w:w="4536" w:type="dxa"/>
            <w:shd w:val="clear" w:color="auto" w:fill="auto"/>
          </w:tcPr>
          <w:p w14:paraId="197D0B41" w14:textId="77777777" w:rsidR="008E3BA7" w:rsidRPr="00BF7956" w:rsidRDefault="008E3BA7" w:rsidP="008E3BA7">
            <w:pPr>
              <w:rPr>
                <w:rFonts w:ascii="Calibri" w:eastAsia="Calibri" w:hAnsi="Calibri"/>
                <w:sz w:val="20"/>
                <w:szCs w:val="20"/>
                <w:lang w:val="it-IT" w:eastAsia="en-US"/>
              </w:rPr>
            </w:pPr>
            <w:r w:rsidRPr="00BF7956">
              <w:rPr>
                <w:color w:val="000000"/>
                <w:sz w:val="20"/>
                <w:szCs w:val="20"/>
                <w:lang w:val="it-IT" w:eastAsia="en-US"/>
              </w:rPr>
              <w:t xml:space="preserve">Modul de </w:t>
            </w:r>
            <w:r w:rsidRPr="00BF7956">
              <w:rPr>
                <w:color w:val="000000"/>
                <w:sz w:val="20"/>
                <w:szCs w:val="20"/>
                <w:lang w:val="ro-MD" w:eastAsia="en-US"/>
              </w:rPr>
              <w:t>completare</w:t>
            </w:r>
            <w:r w:rsidRPr="00BF7956">
              <w:rPr>
                <w:color w:val="000000"/>
                <w:sz w:val="20"/>
                <w:szCs w:val="20"/>
                <w:lang w:val="it-IT" w:eastAsia="en-US"/>
              </w:rPr>
              <w:t xml:space="preserve"> a </w:t>
            </w:r>
            <w:r w:rsidRPr="00BF7956">
              <w:rPr>
                <w:color w:val="000000"/>
                <w:sz w:val="20"/>
                <w:szCs w:val="20"/>
                <w:lang w:val="ro-MD" w:eastAsia="en-US"/>
              </w:rPr>
              <w:t>raportului</w:t>
            </w:r>
            <w:r w:rsidRPr="00BF7956">
              <w:rPr>
                <w:rFonts w:ascii="Calibri" w:eastAsia="Calibri" w:hAnsi="Calibri"/>
                <w:sz w:val="20"/>
                <w:szCs w:val="20"/>
                <w:lang w:val="it-IT" w:eastAsia="en-US"/>
              </w:rPr>
              <w:t xml:space="preserve"> </w:t>
            </w:r>
          </w:p>
          <w:p w14:paraId="664F3870" w14:textId="77777777" w:rsidR="008E3BA7" w:rsidRPr="00BF7956" w:rsidRDefault="008E3BA7" w:rsidP="008E3BA7">
            <w:pPr>
              <w:rPr>
                <w:b/>
                <w:bCs/>
                <w:color w:val="333333"/>
                <w:sz w:val="20"/>
                <w:szCs w:val="20"/>
                <w:lang w:val="ro-MD" w:eastAsia="ro-MD"/>
              </w:rPr>
            </w:pPr>
            <w:r w:rsidRPr="00BF7956">
              <w:rPr>
                <w:b/>
                <w:bCs/>
                <w:sz w:val="20"/>
                <w:szCs w:val="20"/>
                <w:lang w:val="ro-MD" w:eastAsia="ro-MD"/>
              </w:rPr>
              <w:t xml:space="preserve">C 66.01 - </w:t>
            </w:r>
            <w:r w:rsidRPr="00BF7956">
              <w:rPr>
                <w:b/>
                <w:bCs/>
                <w:color w:val="333333"/>
                <w:sz w:val="20"/>
                <w:szCs w:val="20"/>
                <w:lang w:val="ro-MD" w:eastAsia="ro-MD"/>
              </w:rPr>
              <w:t>BENZI DE SCADENȚĂ</w:t>
            </w:r>
          </w:p>
          <w:p w14:paraId="282A17FD" w14:textId="7F07B8F3" w:rsidR="008E3BA7" w:rsidRPr="00BF7956" w:rsidRDefault="008E3BA7" w:rsidP="008E3BA7">
            <w:pPr>
              <w:rPr>
                <w:b/>
                <w:color w:val="000000"/>
                <w:sz w:val="20"/>
                <w:szCs w:val="20"/>
                <w:lang w:val="ro-MD" w:eastAsia="en-US"/>
              </w:rPr>
            </w:pPr>
            <w:r w:rsidRPr="00BF7956">
              <w:rPr>
                <w:b/>
                <w:color w:val="000000"/>
                <w:sz w:val="20"/>
                <w:szCs w:val="20"/>
                <w:lang w:val="ro-MD" w:eastAsia="en-US"/>
              </w:rPr>
              <w:t>Instrucțiuni pentru anumite poziții</w:t>
            </w:r>
          </w:p>
          <w:tbl>
            <w:tblPr>
              <w:tblStyle w:val="TableGrid"/>
              <w:tblW w:w="4394" w:type="dxa"/>
              <w:tblLayout w:type="fixed"/>
              <w:tblLook w:val="04A0" w:firstRow="1" w:lastRow="0" w:firstColumn="1" w:lastColumn="0" w:noHBand="0" w:noVBand="1"/>
            </w:tblPr>
            <w:tblGrid>
              <w:gridCol w:w="575"/>
              <w:gridCol w:w="3819"/>
            </w:tblGrid>
            <w:tr w:rsidR="008E3BA7" w:rsidRPr="00BF7956" w14:paraId="313D91E3" w14:textId="77777777" w:rsidTr="00CE67CE">
              <w:tc>
                <w:tcPr>
                  <w:tcW w:w="575" w:type="dxa"/>
                </w:tcPr>
                <w:p w14:paraId="373B1614" w14:textId="77777777" w:rsidR="008E3BA7" w:rsidRPr="00BF7956" w:rsidRDefault="008E3BA7" w:rsidP="00410ADE">
                  <w:pPr>
                    <w:pStyle w:val="CM4"/>
                    <w:framePr w:hSpace="180" w:wrap="around" w:vAnchor="text" w:hAnchor="margin" w:y="137"/>
                    <w:spacing w:before="60" w:after="60"/>
                    <w:rPr>
                      <w:i/>
                      <w:iCs/>
                      <w:color w:val="000000"/>
                      <w:sz w:val="20"/>
                      <w:szCs w:val="20"/>
                    </w:rPr>
                  </w:pPr>
                  <w:r w:rsidRPr="00BF7956">
                    <w:rPr>
                      <w:color w:val="000000"/>
                      <w:sz w:val="20"/>
                      <w:szCs w:val="20"/>
                    </w:rPr>
                    <w:t>Rând</w:t>
                  </w:r>
                </w:p>
              </w:tc>
              <w:tc>
                <w:tcPr>
                  <w:tcW w:w="3819" w:type="dxa"/>
                </w:tcPr>
                <w:p w14:paraId="70CADAEC" w14:textId="77777777" w:rsidR="008E3BA7" w:rsidRPr="00BF7956" w:rsidRDefault="008E3BA7" w:rsidP="00410ADE">
                  <w:pPr>
                    <w:pStyle w:val="CM4"/>
                    <w:framePr w:hSpace="180" w:wrap="around" w:vAnchor="text" w:hAnchor="margin" w:y="137"/>
                    <w:spacing w:before="60" w:after="60"/>
                    <w:rPr>
                      <w:i/>
                      <w:iCs/>
                      <w:color w:val="000000"/>
                      <w:sz w:val="20"/>
                      <w:szCs w:val="20"/>
                    </w:rPr>
                  </w:pPr>
                  <w:r w:rsidRPr="00BF7956">
                    <w:rPr>
                      <w:color w:val="000000"/>
                      <w:sz w:val="20"/>
                      <w:szCs w:val="20"/>
                    </w:rPr>
                    <w:t>Referinţe juridice și instrucţiuni</w:t>
                  </w:r>
                </w:p>
              </w:tc>
            </w:tr>
            <w:tr w:rsidR="008E3BA7" w:rsidRPr="002C43F1" w14:paraId="3E22916F" w14:textId="77777777" w:rsidTr="00CE67CE">
              <w:tc>
                <w:tcPr>
                  <w:tcW w:w="575" w:type="dxa"/>
                </w:tcPr>
                <w:p w14:paraId="22127893" w14:textId="1E79181B" w:rsidR="008E3BA7" w:rsidRPr="00BF7956" w:rsidRDefault="00F35089" w:rsidP="00410ADE">
                  <w:pPr>
                    <w:pStyle w:val="CM4"/>
                    <w:framePr w:hSpace="180" w:wrap="around" w:vAnchor="text" w:hAnchor="margin" w:y="137"/>
                    <w:spacing w:before="60" w:after="60"/>
                    <w:rPr>
                      <w:i/>
                      <w:iCs/>
                      <w:color w:val="000000"/>
                      <w:sz w:val="20"/>
                      <w:szCs w:val="20"/>
                    </w:rPr>
                  </w:pPr>
                  <w:r w:rsidRPr="00BF7956">
                    <w:rPr>
                      <w:b/>
                      <w:bCs/>
                      <w:color w:val="000000"/>
                      <w:sz w:val="20"/>
                      <w:szCs w:val="20"/>
                    </w:rPr>
                    <w:t>0</w:t>
                  </w:r>
                  <w:r w:rsidR="008E3BA7" w:rsidRPr="00BF7956">
                    <w:rPr>
                      <w:b/>
                      <w:bCs/>
                      <w:color w:val="000000"/>
                      <w:sz w:val="20"/>
                      <w:szCs w:val="20"/>
                    </w:rPr>
                    <w:t xml:space="preserve">010 până la </w:t>
                  </w:r>
                  <w:r w:rsidRPr="00BF7956">
                    <w:rPr>
                      <w:b/>
                      <w:bCs/>
                      <w:color w:val="000000"/>
                      <w:sz w:val="20"/>
                      <w:szCs w:val="20"/>
                    </w:rPr>
                    <w:t>0</w:t>
                  </w:r>
                  <w:r w:rsidR="008E3BA7" w:rsidRPr="00BF7956">
                    <w:rPr>
                      <w:b/>
                      <w:bCs/>
                      <w:color w:val="000000"/>
                      <w:sz w:val="20"/>
                      <w:szCs w:val="20"/>
                    </w:rPr>
                    <w:t>380</w:t>
                  </w:r>
                </w:p>
              </w:tc>
              <w:tc>
                <w:tcPr>
                  <w:tcW w:w="3819" w:type="dxa"/>
                </w:tcPr>
                <w:p w14:paraId="39A86157" w14:textId="77777777" w:rsidR="008E3BA7" w:rsidRPr="00BF7956" w:rsidRDefault="008E3BA7" w:rsidP="00410ADE">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IEȘIRI </w:t>
                  </w:r>
                </w:p>
                <w:p w14:paraId="0BAB1A74" w14:textId="77777777" w:rsidR="008E3BA7" w:rsidRPr="00BF7956" w:rsidRDefault="008E3BA7" w:rsidP="00410ADE">
                  <w:pPr>
                    <w:pStyle w:val="CM4"/>
                    <w:framePr w:hSpace="180" w:wrap="around" w:vAnchor="text" w:hAnchor="margin" w:y="137"/>
                    <w:spacing w:before="60" w:after="60"/>
                    <w:rPr>
                      <w:i/>
                      <w:iCs/>
                      <w:color w:val="000000"/>
                      <w:sz w:val="20"/>
                      <w:szCs w:val="20"/>
                    </w:rPr>
                  </w:pPr>
                  <w:r w:rsidRPr="00BF7956">
                    <w:rPr>
                      <w:color w:val="000000"/>
                      <w:sz w:val="20"/>
                      <w:szCs w:val="20"/>
                    </w:rPr>
                    <w:t>Cuantumul total al ieșirilor de numerar se raportează la următoarele subcategorii:</w:t>
                  </w:r>
                </w:p>
              </w:tc>
            </w:tr>
          </w:tbl>
          <w:p w14:paraId="5BC4D7CB" w14:textId="77777777" w:rsidR="008E3BA7" w:rsidRPr="00BF7956" w:rsidRDefault="008E3BA7" w:rsidP="008E3BA7">
            <w:pPr>
              <w:autoSpaceDE w:val="0"/>
              <w:autoSpaceDN w:val="0"/>
              <w:adjustRightInd w:val="0"/>
              <w:spacing w:before="60" w:after="60"/>
              <w:rPr>
                <w:color w:val="000000"/>
                <w:sz w:val="20"/>
                <w:szCs w:val="20"/>
                <w:lang w:val="it-IT"/>
              </w:rPr>
            </w:pPr>
          </w:p>
        </w:tc>
        <w:tc>
          <w:tcPr>
            <w:tcW w:w="1418" w:type="dxa"/>
          </w:tcPr>
          <w:p w14:paraId="29977E42" w14:textId="2D1A9EB8" w:rsidR="008E3BA7" w:rsidRPr="00BF7956" w:rsidRDefault="008E3BA7" w:rsidP="008E3BA7">
            <w:pPr>
              <w:rPr>
                <w:bCs/>
                <w:sz w:val="20"/>
                <w:szCs w:val="20"/>
                <w:lang w:val="ro-RO"/>
              </w:rPr>
            </w:pPr>
            <w:r w:rsidRPr="00BF7956">
              <w:rPr>
                <w:bCs/>
                <w:sz w:val="20"/>
                <w:szCs w:val="20"/>
                <w:lang w:val="ro-RO"/>
              </w:rPr>
              <w:t>Compatibil</w:t>
            </w:r>
          </w:p>
        </w:tc>
        <w:tc>
          <w:tcPr>
            <w:tcW w:w="2223" w:type="dxa"/>
          </w:tcPr>
          <w:p w14:paraId="33D378F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2D3ED59" w14:textId="77777777" w:rsidR="008E3BA7" w:rsidRPr="00BF7956" w:rsidRDefault="008E3BA7" w:rsidP="008E3BA7">
            <w:pPr>
              <w:jc w:val="both"/>
              <w:rPr>
                <w:sz w:val="20"/>
                <w:szCs w:val="20"/>
                <w:lang w:val="ro-RO"/>
              </w:rPr>
            </w:pPr>
          </w:p>
        </w:tc>
        <w:tc>
          <w:tcPr>
            <w:tcW w:w="992" w:type="dxa"/>
          </w:tcPr>
          <w:p w14:paraId="27455ED4" w14:textId="77777777" w:rsidR="008E3BA7" w:rsidRPr="00BF7956" w:rsidRDefault="008E3BA7" w:rsidP="008E3BA7">
            <w:pPr>
              <w:jc w:val="both"/>
              <w:rPr>
                <w:sz w:val="20"/>
                <w:szCs w:val="20"/>
                <w:lang w:val="ro-RO"/>
              </w:rPr>
            </w:pPr>
          </w:p>
        </w:tc>
      </w:tr>
      <w:tr w:rsidR="008E3BA7" w:rsidRPr="00BF7956" w14:paraId="4D67EC3D" w14:textId="77777777" w:rsidTr="00C25F84">
        <w:tc>
          <w:tcPr>
            <w:tcW w:w="4576" w:type="dxa"/>
          </w:tcPr>
          <w:tbl>
            <w:tblPr>
              <w:tblStyle w:val="TableGrid"/>
              <w:tblW w:w="4392" w:type="dxa"/>
              <w:tblLayout w:type="fixed"/>
              <w:tblLook w:val="04A0" w:firstRow="1" w:lastRow="0" w:firstColumn="1" w:lastColumn="0" w:noHBand="0" w:noVBand="1"/>
            </w:tblPr>
            <w:tblGrid>
              <w:gridCol w:w="573"/>
              <w:gridCol w:w="3819"/>
            </w:tblGrid>
            <w:tr w:rsidR="008E3BA7" w:rsidRPr="002C43F1" w14:paraId="1E367540" w14:textId="77777777" w:rsidTr="00991692">
              <w:tc>
                <w:tcPr>
                  <w:tcW w:w="573" w:type="dxa"/>
                </w:tcPr>
                <w:p w14:paraId="79C13315" w14:textId="454E157F"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F35089" w:rsidRPr="00BF7956">
                    <w:rPr>
                      <w:color w:val="000000"/>
                      <w:sz w:val="20"/>
                      <w:szCs w:val="20"/>
                    </w:rPr>
                    <w:t>0</w:t>
                  </w:r>
                  <w:r w:rsidRPr="00BF7956">
                    <w:rPr>
                      <w:color w:val="000000"/>
                      <w:sz w:val="20"/>
                      <w:szCs w:val="20"/>
                    </w:rPr>
                    <w:t>10</w:t>
                  </w:r>
                </w:p>
              </w:tc>
              <w:tc>
                <w:tcPr>
                  <w:tcW w:w="3819" w:type="dxa"/>
                </w:tcPr>
                <w:p w14:paraId="0858E46A" w14:textId="7D8B1390" w:rsidR="008E3BA7" w:rsidRPr="00BF7956" w:rsidRDefault="008E3BA7" w:rsidP="008E3BA7">
                  <w:pPr>
                    <w:pStyle w:val="CM4"/>
                    <w:framePr w:hSpace="180" w:wrap="around" w:vAnchor="text" w:hAnchor="margin" w:y="137"/>
                    <w:numPr>
                      <w:ilvl w:val="1"/>
                      <w:numId w:val="3"/>
                    </w:numPr>
                    <w:tabs>
                      <w:tab w:val="left" w:pos="313"/>
                    </w:tabs>
                    <w:spacing w:before="60" w:after="60"/>
                    <w:ind w:left="0" w:firstLine="0"/>
                    <w:rPr>
                      <w:b/>
                      <w:bCs/>
                      <w:color w:val="000000"/>
                      <w:sz w:val="20"/>
                      <w:szCs w:val="20"/>
                    </w:rPr>
                  </w:pPr>
                  <w:r w:rsidRPr="00BF7956">
                    <w:rPr>
                      <w:b/>
                      <w:bCs/>
                      <w:color w:val="000000"/>
                      <w:sz w:val="20"/>
                      <w:szCs w:val="20"/>
                    </w:rPr>
                    <w:t xml:space="preserve">Datorii rezultate din titluri de valoare emise </w:t>
                  </w:r>
                  <w:r w:rsidR="00F35089" w:rsidRPr="00BF7956">
                    <w:rPr>
                      <w:b/>
                      <w:bCs/>
                      <w:color w:val="000000"/>
                      <w:sz w:val="20"/>
                      <w:szCs w:val="20"/>
                    </w:rPr>
                    <w:t>(dacă nu sunt tratate ca depozite retail)</w:t>
                  </w:r>
                </w:p>
                <w:p w14:paraId="03D1AF15" w14:textId="2419AEF0" w:rsidR="008E3BA7" w:rsidRPr="00BF7956" w:rsidRDefault="008E3BA7" w:rsidP="008E3BA7">
                  <w:pPr>
                    <w:pStyle w:val="CM4"/>
                    <w:framePr w:hSpace="180" w:wrap="around" w:vAnchor="text" w:hAnchor="margin" w:y="137"/>
                    <w:spacing w:before="60" w:after="60"/>
                    <w:rPr>
                      <w:b/>
                      <w:bCs/>
                      <w:color w:val="000000"/>
                      <w:sz w:val="20"/>
                      <w:szCs w:val="20"/>
                    </w:rPr>
                  </w:pPr>
                  <w:r w:rsidRPr="00BF7956">
                    <w:rPr>
                      <w:color w:val="000000"/>
                      <w:sz w:val="20"/>
                      <w:szCs w:val="20"/>
                    </w:rPr>
                    <w:t>Ieșiri de numerar care provin din titlurile de creanţă emise de instituţia raportoare, cu alte cuvinte din emisiunile proprii.</w:t>
                  </w:r>
                </w:p>
              </w:tc>
            </w:tr>
          </w:tbl>
          <w:p w14:paraId="0CCFB969" w14:textId="77777777" w:rsidR="008E3BA7" w:rsidRPr="00BF7956" w:rsidRDefault="008E3BA7" w:rsidP="008E3BA7">
            <w:pPr>
              <w:pStyle w:val="CM4"/>
              <w:spacing w:before="60" w:after="60"/>
              <w:rPr>
                <w:i/>
                <w:iCs/>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573"/>
              <w:gridCol w:w="3819"/>
            </w:tblGrid>
            <w:tr w:rsidR="008E3BA7" w:rsidRPr="002C43F1" w14:paraId="63A6F64E" w14:textId="77777777" w:rsidTr="00CE67CE">
              <w:tc>
                <w:tcPr>
                  <w:tcW w:w="573" w:type="dxa"/>
                </w:tcPr>
                <w:p w14:paraId="16A3C706" w14:textId="17A372A0" w:rsidR="008E3BA7" w:rsidRPr="00BF7956" w:rsidRDefault="00F3508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010</w:t>
                  </w:r>
                </w:p>
              </w:tc>
              <w:tc>
                <w:tcPr>
                  <w:tcW w:w="3819" w:type="dxa"/>
                </w:tcPr>
                <w:p w14:paraId="2416FAE9" w14:textId="7E0D4EB6" w:rsidR="008E3BA7" w:rsidRPr="00BF7956" w:rsidRDefault="008E3BA7" w:rsidP="008E3BA7">
                  <w:pPr>
                    <w:pStyle w:val="CM4"/>
                    <w:framePr w:hSpace="180" w:wrap="around" w:vAnchor="text" w:hAnchor="margin" w:y="137"/>
                    <w:numPr>
                      <w:ilvl w:val="1"/>
                      <w:numId w:val="4"/>
                    </w:numPr>
                    <w:tabs>
                      <w:tab w:val="left" w:pos="313"/>
                    </w:tabs>
                    <w:spacing w:before="60" w:after="60"/>
                    <w:rPr>
                      <w:b/>
                      <w:bCs/>
                      <w:color w:val="000000"/>
                      <w:sz w:val="20"/>
                      <w:szCs w:val="20"/>
                    </w:rPr>
                  </w:pPr>
                  <w:r w:rsidRPr="00BF7956">
                    <w:rPr>
                      <w:b/>
                      <w:bCs/>
                      <w:color w:val="000000"/>
                      <w:sz w:val="20"/>
                      <w:szCs w:val="20"/>
                    </w:rPr>
                    <w:t xml:space="preserve">Datorii rezultate din titluri de valoare emise </w:t>
                  </w:r>
                  <w:r w:rsidR="00F35089" w:rsidRPr="00BF7956">
                    <w:rPr>
                      <w:b/>
                      <w:bCs/>
                      <w:color w:val="000000"/>
                      <w:sz w:val="20"/>
                      <w:szCs w:val="20"/>
                    </w:rPr>
                    <w:t>(dacă nu sunt tratate ca depozite retail)</w:t>
                  </w:r>
                </w:p>
                <w:p w14:paraId="20A48C4C" w14:textId="7D96FE3B" w:rsidR="008E3BA7" w:rsidRPr="00BF7956" w:rsidRDefault="008E3BA7" w:rsidP="008E3BA7">
                  <w:pPr>
                    <w:pStyle w:val="CM4"/>
                    <w:framePr w:hSpace="180" w:wrap="around" w:vAnchor="text" w:hAnchor="margin" w:y="137"/>
                    <w:spacing w:before="60" w:after="60"/>
                    <w:rPr>
                      <w:b/>
                      <w:bCs/>
                      <w:color w:val="000000"/>
                      <w:sz w:val="20"/>
                      <w:szCs w:val="20"/>
                    </w:rPr>
                  </w:pPr>
                  <w:r w:rsidRPr="00BF7956">
                    <w:rPr>
                      <w:color w:val="000000"/>
                      <w:sz w:val="20"/>
                      <w:szCs w:val="20"/>
                    </w:rPr>
                    <w:t>Ieșiri de numerar care provin din titlurile de creanţă emise de banca raportoare, cu alte cuvinte din emisiunile proprii.</w:t>
                  </w:r>
                </w:p>
              </w:tc>
            </w:tr>
          </w:tbl>
          <w:p w14:paraId="18089962"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CF10CD6" w14:textId="3D26A94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686251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34AAC4A" w14:textId="77777777" w:rsidR="008E3BA7" w:rsidRPr="00BF7956" w:rsidRDefault="008E3BA7" w:rsidP="008E3BA7">
            <w:pPr>
              <w:jc w:val="both"/>
              <w:rPr>
                <w:sz w:val="20"/>
                <w:szCs w:val="20"/>
                <w:lang w:val="ro-RO"/>
              </w:rPr>
            </w:pPr>
          </w:p>
        </w:tc>
        <w:tc>
          <w:tcPr>
            <w:tcW w:w="992" w:type="dxa"/>
          </w:tcPr>
          <w:p w14:paraId="22C07C29" w14:textId="77777777" w:rsidR="008E3BA7" w:rsidRPr="00BF7956" w:rsidRDefault="008E3BA7" w:rsidP="008E3BA7">
            <w:pPr>
              <w:jc w:val="both"/>
              <w:rPr>
                <w:sz w:val="20"/>
                <w:szCs w:val="20"/>
                <w:lang w:val="ro-RO"/>
              </w:rPr>
            </w:pPr>
          </w:p>
        </w:tc>
      </w:tr>
      <w:tr w:rsidR="00D474E1" w:rsidRPr="002C43F1" w14:paraId="5DF06A25" w14:textId="77777777" w:rsidTr="00C25F84">
        <w:tc>
          <w:tcPr>
            <w:tcW w:w="4576" w:type="dxa"/>
          </w:tcPr>
          <w:tbl>
            <w:tblPr>
              <w:tblStyle w:val="TableGrid"/>
              <w:tblW w:w="4392" w:type="dxa"/>
              <w:tblLayout w:type="fixed"/>
              <w:tblLook w:val="04A0" w:firstRow="1" w:lastRow="0" w:firstColumn="1" w:lastColumn="0" w:noHBand="0" w:noVBand="1"/>
            </w:tblPr>
            <w:tblGrid>
              <w:gridCol w:w="573"/>
              <w:gridCol w:w="3819"/>
            </w:tblGrid>
            <w:tr w:rsidR="00D474E1" w:rsidRPr="002C43F1" w14:paraId="584CDB09" w14:textId="77777777" w:rsidTr="00C63E97">
              <w:tc>
                <w:tcPr>
                  <w:tcW w:w="573" w:type="dxa"/>
                </w:tcPr>
                <w:p w14:paraId="33A58FAA" w14:textId="7A44DEFC" w:rsidR="00D474E1" w:rsidRPr="00BF7956" w:rsidRDefault="00D474E1" w:rsidP="00D474E1">
                  <w:pPr>
                    <w:pStyle w:val="CM4"/>
                    <w:framePr w:hSpace="180" w:wrap="around" w:vAnchor="text" w:hAnchor="margin" w:y="137"/>
                    <w:spacing w:before="60" w:after="60"/>
                    <w:rPr>
                      <w:i/>
                      <w:iCs/>
                      <w:color w:val="000000"/>
                      <w:sz w:val="20"/>
                      <w:szCs w:val="20"/>
                      <w:lang w:val="ro-RO"/>
                    </w:rPr>
                  </w:pPr>
                  <w:r w:rsidRPr="00BF7956">
                    <w:rPr>
                      <w:color w:val="000000"/>
                      <w:sz w:val="20"/>
                      <w:szCs w:val="20"/>
                    </w:rPr>
                    <w:t>0011</w:t>
                  </w:r>
                </w:p>
              </w:tc>
              <w:tc>
                <w:tcPr>
                  <w:tcW w:w="3819" w:type="dxa"/>
                </w:tcPr>
                <w:p w14:paraId="21DDE2A7" w14:textId="3C81859B" w:rsidR="00D474E1" w:rsidRPr="00BF7956" w:rsidRDefault="00D474E1" w:rsidP="00D474E1">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1.1.0.1 din care: intragrup sau IPS </w:t>
                  </w:r>
                  <w:r w:rsidRPr="00BF7956">
                    <w:rPr>
                      <w:color w:val="000000"/>
                      <w:sz w:val="20"/>
                      <w:szCs w:val="20"/>
                    </w:rPr>
                    <w:t xml:space="preserve">Cuantumul ieșirilor de la punctul 1.1 în cazul în care contrapartea este o instituţie- mamă sau o filială a instituţiei sau o altă filială a aceleiași instituţii-mamă ori este legată de instituţia de credit printr-o relaţie în sensul articolului 22 alineatul (7) din </w:t>
                  </w:r>
                  <w:r w:rsidRPr="00BF7956">
                    <w:rPr>
                      <w:color w:val="000000"/>
                      <w:sz w:val="20"/>
                      <w:szCs w:val="20"/>
                    </w:rPr>
                    <w:lastRenderedPageBreak/>
                    <w:t>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0753261A" w14:textId="77777777" w:rsidR="00D474E1" w:rsidRPr="00BF7956" w:rsidRDefault="00D474E1" w:rsidP="008E3BA7">
            <w:pPr>
              <w:pStyle w:val="CM4"/>
              <w:spacing w:before="60" w:after="60"/>
              <w:rPr>
                <w:color w:val="000000"/>
                <w:sz w:val="20"/>
                <w:szCs w:val="20"/>
                <w:lang w:val="en-US"/>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573"/>
              <w:gridCol w:w="3819"/>
            </w:tblGrid>
            <w:tr w:rsidR="00D474E1" w:rsidRPr="002C43F1" w14:paraId="65F933AB" w14:textId="77777777" w:rsidTr="00C63E97">
              <w:tc>
                <w:tcPr>
                  <w:tcW w:w="573" w:type="dxa"/>
                </w:tcPr>
                <w:p w14:paraId="5716238F" w14:textId="77777777" w:rsidR="00D474E1" w:rsidRPr="00BF7956" w:rsidRDefault="00D474E1" w:rsidP="00D474E1">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0011</w:t>
                  </w:r>
                </w:p>
              </w:tc>
              <w:tc>
                <w:tcPr>
                  <w:tcW w:w="3819" w:type="dxa"/>
                </w:tcPr>
                <w:p w14:paraId="075F16C5" w14:textId="4C31B0CB" w:rsidR="00D474E1" w:rsidRPr="00BF7956" w:rsidRDefault="00D474E1" w:rsidP="00D474E1">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1.1.0.1 din care: intragrup sau IPS </w:t>
                  </w:r>
                </w:p>
              </w:tc>
            </w:tr>
          </w:tbl>
          <w:p w14:paraId="1BE97336" w14:textId="77777777" w:rsidR="00D474E1" w:rsidRPr="00BF7956" w:rsidRDefault="00D474E1" w:rsidP="008E3BA7">
            <w:pPr>
              <w:pStyle w:val="CM4"/>
              <w:spacing w:before="60" w:after="60"/>
              <w:rPr>
                <w:color w:val="000000"/>
                <w:sz w:val="20"/>
                <w:szCs w:val="20"/>
                <w:lang w:val="en-US"/>
              </w:rPr>
            </w:pPr>
          </w:p>
        </w:tc>
        <w:tc>
          <w:tcPr>
            <w:tcW w:w="1418" w:type="dxa"/>
          </w:tcPr>
          <w:p w14:paraId="65F5A832" w14:textId="390BF64A" w:rsidR="00D474E1" w:rsidRPr="00BF7956" w:rsidRDefault="00D474E1" w:rsidP="008E3BA7">
            <w:pPr>
              <w:rPr>
                <w:bCs/>
                <w:sz w:val="20"/>
                <w:szCs w:val="20"/>
                <w:lang w:val="ro-RO"/>
              </w:rPr>
            </w:pPr>
            <w:r w:rsidRPr="00BF7956">
              <w:rPr>
                <w:bCs/>
                <w:sz w:val="20"/>
                <w:szCs w:val="20"/>
                <w:lang w:val="ro-RO"/>
              </w:rPr>
              <w:t>Necompatibil</w:t>
            </w:r>
          </w:p>
        </w:tc>
        <w:tc>
          <w:tcPr>
            <w:tcW w:w="2223" w:type="dxa"/>
          </w:tcPr>
          <w:p w14:paraId="1C426E3E" w14:textId="1A249095" w:rsidR="00D474E1" w:rsidRPr="00BF7956" w:rsidRDefault="00BF7956" w:rsidP="00BF7956">
            <w:pPr>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3B8BFF77" w14:textId="77777777" w:rsidR="00D474E1" w:rsidRPr="00BF7956" w:rsidRDefault="00D474E1" w:rsidP="008E3BA7">
            <w:pPr>
              <w:jc w:val="both"/>
              <w:rPr>
                <w:sz w:val="20"/>
                <w:szCs w:val="20"/>
                <w:lang w:val="ro-RO"/>
              </w:rPr>
            </w:pPr>
          </w:p>
        </w:tc>
        <w:tc>
          <w:tcPr>
            <w:tcW w:w="992" w:type="dxa"/>
          </w:tcPr>
          <w:p w14:paraId="04D441E4" w14:textId="77777777" w:rsidR="00D474E1" w:rsidRPr="00BF7956" w:rsidRDefault="00D474E1" w:rsidP="008E3BA7">
            <w:pPr>
              <w:jc w:val="both"/>
              <w:rPr>
                <w:sz w:val="20"/>
                <w:szCs w:val="20"/>
                <w:lang w:val="ro-RO"/>
              </w:rPr>
            </w:pPr>
          </w:p>
        </w:tc>
      </w:tr>
      <w:tr w:rsidR="008E3BA7" w:rsidRPr="00BF7956" w14:paraId="1B2D0032" w14:textId="77777777" w:rsidTr="00C25F84">
        <w:tc>
          <w:tcPr>
            <w:tcW w:w="4576" w:type="dxa"/>
          </w:tcPr>
          <w:tbl>
            <w:tblPr>
              <w:tblStyle w:val="TableGrid"/>
              <w:tblW w:w="4392" w:type="dxa"/>
              <w:tblLayout w:type="fixed"/>
              <w:tblLook w:val="04A0" w:firstRow="1" w:lastRow="0" w:firstColumn="1" w:lastColumn="0" w:noHBand="0" w:noVBand="1"/>
            </w:tblPr>
            <w:tblGrid>
              <w:gridCol w:w="573"/>
              <w:gridCol w:w="3819"/>
            </w:tblGrid>
            <w:tr w:rsidR="008E3BA7" w:rsidRPr="002C43F1" w14:paraId="006E6D20" w14:textId="77777777" w:rsidTr="00DB788A">
              <w:tc>
                <w:tcPr>
                  <w:tcW w:w="573" w:type="dxa"/>
                </w:tcPr>
                <w:p w14:paraId="5B7776A0" w14:textId="2F09E741"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D474E1" w:rsidRPr="00BF7956">
                    <w:rPr>
                      <w:color w:val="000000"/>
                      <w:sz w:val="20"/>
                      <w:szCs w:val="20"/>
                    </w:rPr>
                    <w:t>0</w:t>
                  </w:r>
                  <w:r w:rsidRPr="00BF7956">
                    <w:rPr>
                      <w:color w:val="000000"/>
                      <w:sz w:val="20"/>
                      <w:szCs w:val="20"/>
                    </w:rPr>
                    <w:t>20</w:t>
                  </w:r>
                </w:p>
              </w:tc>
              <w:tc>
                <w:tcPr>
                  <w:tcW w:w="3819" w:type="dxa"/>
                </w:tcPr>
                <w:p w14:paraId="110ED0D6" w14:textId="7DA95025"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1.1.1</w:t>
                  </w:r>
                  <w:r w:rsidRPr="00BF7956">
                    <w:rPr>
                      <w:color w:val="000000"/>
                      <w:sz w:val="20"/>
                      <w:szCs w:val="20"/>
                    </w:rPr>
                    <w:t xml:space="preserve"> </w:t>
                  </w:r>
                  <w:r w:rsidRPr="00BF7956">
                    <w:rPr>
                      <w:b/>
                      <w:bCs/>
                      <w:color w:val="000000"/>
                      <w:sz w:val="20"/>
                      <w:szCs w:val="20"/>
                    </w:rPr>
                    <w:t xml:space="preserve">Obligaţiuni negarantate scadente </w:t>
                  </w:r>
                  <w:r w:rsidR="008804F4" w:rsidRPr="00BF7956">
                    <w:rPr>
                      <w:sz w:val="20"/>
                      <w:szCs w:val="20"/>
                    </w:rPr>
                    <w:t xml:space="preserve"> </w:t>
                  </w:r>
                  <w:r w:rsidR="008804F4" w:rsidRPr="00BF7956">
                    <w:rPr>
                      <w:color w:val="000000"/>
                      <w:sz w:val="20"/>
                      <w:szCs w:val="20"/>
                    </w:rPr>
                    <w:t>Cuantumul ieșirilor de numerar rezultate din titlurile de valoare emise, raportate pe rândul 1.1, care reprezintă datorii negarantate emise de instituţia raportoare către terţi.</w:t>
                  </w:r>
                </w:p>
              </w:tc>
            </w:tr>
          </w:tbl>
          <w:p w14:paraId="23AD1EF2" w14:textId="77777777" w:rsidR="008E3BA7" w:rsidRPr="00BF7956" w:rsidRDefault="008E3BA7" w:rsidP="008E3BA7">
            <w:pPr>
              <w:pStyle w:val="CM4"/>
              <w:spacing w:before="60" w:after="60"/>
              <w:rPr>
                <w:i/>
                <w:iCs/>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573"/>
              <w:gridCol w:w="3819"/>
            </w:tblGrid>
            <w:tr w:rsidR="008E3BA7" w:rsidRPr="002C43F1" w14:paraId="24F0FDC2" w14:textId="77777777" w:rsidTr="00CE67CE">
              <w:tc>
                <w:tcPr>
                  <w:tcW w:w="573" w:type="dxa"/>
                </w:tcPr>
                <w:p w14:paraId="205A3D7C" w14:textId="6479C1AD"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D474E1" w:rsidRPr="00BF7956">
                    <w:rPr>
                      <w:color w:val="000000"/>
                      <w:sz w:val="20"/>
                      <w:szCs w:val="20"/>
                    </w:rPr>
                    <w:t>0</w:t>
                  </w:r>
                  <w:r w:rsidRPr="00BF7956">
                    <w:rPr>
                      <w:color w:val="000000"/>
                      <w:sz w:val="20"/>
                      <w:szCs w:val="20"/>
                    </w:rPr>
                    <w:t>20</w:t>
                  </w:r>
                </w:p>
              </w:tc>
              <w:tc>
                <w:tcPr>
                  <w:tcW w:w="3819" w:type="dxa"/>
                </w:tcPr>
                <w:p w14:paraId="40F57E09" w14:textId="711B3020"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1.1.1</w:t>
                  </w:r>
                  <w:r w:rsidRPr="00BF7956">
                    <w:rPr>
                      <w:color w:val="000000"/>
                      <w:sz w:val="20"/>
                      <w:szCs w:val="20"/>
                    </w:rPr>
                    <w:t xml:space="preserve"> </w:t>
                  </w:r>
                  <w:r w:rsidRPr="00BF7956">
                    <w:rPr>
                      <w:b/>
                      <w:bCs/>
                      <w:color w:val="000000"/>
                      <w:sz w:val="20"/>
                      <w:szCs w:val="20"/>
                    </w:rPr>
                    <w:t xml:space="preserve">Obligaţiuni negarantate scadente </w:t>
                  </w:r>
                  <w:r w:rsidRPr="00BF7956">
                    <w:rPr>
                      <w:rFonts w:eastAsia="Times New Roman"/>
                      <w:color w:val="333333"/>
                      <w:sz w:val="20"/>
                      <w:szCs w:val="20"/>
                      <w:lang w:eastAsia="ro-MD"/>
                    </w:rPr>
                    <w:t xml:space="preserve"> </w:t>
                  </w:r>
                  <w:r w:rsidR="008804F4" w:rsidRPr="00BF7956">
                    <w:rPr>
                      <w:sz w:val="20"/>
                      <w:szCs w:val="20"/>
                    </w:rPr>
                    <w:t xml:space="preserve"> </w:t>
                  </w:r>
                  <w:r w:rsidR="008804F4" w:rsidRPr="00BF7956">
                    <w:rPr>
                      <w:rFonts w:eastAsia="Times New Roman"/>
                      <w:color w:val="333333"/>
                      <w:sz w:val="20"/>
                      <w:szCs w:val="20"/>
                      <w:lang w:eastAsia="ro-MD"/>
                    </w:rPr>
                    <w:t>Cuantumul ieșirilor de numerar rezultate din titlurile de valoare emise, raportate la punctul 1.1, care reprezintă datorii negarantate emise de banca raportoare către terți.</w:t>
                  </w:r>
                </w:p>
              </w:tc>
            </w:tr>
          </w:tbl>
          <w:p w14:paraId="4388E34F"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5852CC8" w14:textId="62420EA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113E1C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2C86E92" w14:textId="77777777" w:rsidR="008E3BA7" w:rsidRPr="00BF7956" w:rsidRDefault="008E3BA7" w:rsidP="008E3BA7">
            <w:pPr>
              <w:jc w:val="both"/>
              <w:rPr>
                <w:sz w:val="20"/>
                <w:szCs w:val="20"/>
                <w:lang w:val="ro-RO"/>
              </w:rPr>
            </w:pPr>
          </w:p>
        </w:tc>
        <w:tc>
          <w:tcPr>
            <w:tcW w:w="992" w:type="dxa"/>
          </w:tcPr>
          <w:p w14:paraId="1E46BF7E" w14:textId="77777777" w:rsidR="008E3BA7" w:rsidRPr="00BF7956" w:rsidRDefault="008E3BA7" w:rsidP="008E3BA7">
            <w:pPr>
              <w:jc w:val="both"/>
              <w:rPr>
                <w:sz w:val="20"/>
                <w:szCs w:val="20"/>
                <w:lang w:val="ro-RO"/>
              </w:rPr>
            </w:pPr>
          </w:p>
        </w:tc>
      </w:tr>
      <w:tr w:rsidR="008E3BA7" w:rsidRPr="002C43F1" w14:paraId="613C6090" w14:textId="77777777" w:rsidTr="00C25F84">
        <w:tc>
          <w:tcPr>
            <w:tcW w:w="4576" w:type="dxa"/>
          </w:tcPr>
          <w:tbl>
            <w:tblPr>
              <w:tblStyle w:val="TableGrid"/>
              <w:tblW w:w="4390" w:type="dxa"/>
              <w:tblLayout w:type="fixed"/>
              <w:tblLook w:val="04A0" w:firstRow="1" w:lastRow="0" w:firstColumn="1" w:lastColumn="0" w:noHBand="0" w:noVBand="1"/>
            </w:tblPr>
            <w:tblGrid>
              <w:gridCol w:w="707"/>
              <w:gridCol w:w="3683"/>
            </w:tblGrid>
            <w:tr w:rsidR="008E3BA7" w:rsidRPr="002C43F1" w14:paraId="404035DF" w14:textId="77777777" w:rsidTr="00DB788A">
              <w:tc>
                <w:tcPr>
                  <w:tcW w:w="707" w:type="dxa"/>
                </w:tcPr>
                <w:p w14:paraId="7E5A1917" w14:textId="570596A0" w:rsidR="008E3BA7" w:rsidRPr="00BF7956" w:rsidRDefault="008804F4" w:rsidP="008E3BA7">
                  <w:pPr>
                    <w:pStyle w:val="CM4"/>
                    <w:framePr w:hSpace="180" w:wrap="around" w:vAnchor="text" w:hAnchor="margin" w:y="137"/>
                    <w:spacing w:before="60" w:after="60"/>
                    <w:ind w:right="-13"/>
                    <w:rPr>
                      <w:i/>
                      <w:iCs/>
                      <w:color w:val="000000"/>
                      <w:sz w:val="20"/>
                      <w:szCs w:val="20"/>
                      <w:lang w:val="ro-RO"/>
                    </w:rPr>
                  </w:pPr>
                  <w:r w:rsidRPr="00BF7956">
                    <w:rPr>
                      <w:color w:val="000000"/>
                      <w:sz w:val="20"/>
                      <w:szCs w:val="20"/>
                    </w:rPr>
                    <w:t>0</w:t>
                  </w:r>
                  <w:r w:rsidR="008E3BA7" w:rsidRPr="00BF7956">
                    <w:rPr>
                      <w:color w:val="000000"/>
                      <w:sz w:val="20"/>
                      <w:szCs w:val="20"/>
                    </w:rPr>
                    <w:t>030</w:t>
                  </w:r>
                </w:p>
              </w:tc>
              <w:tc>
                <w:tcPr>
                  <w:tcW w:w="3683" w:type="dxa"/>
                </w:tcPr>
                <w:p w14:paraId="6181810A" w14:textId="55F27672"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1.1.2</w:t>
                  </w:r>
                  <w:r w:rsidRPr="00BF7956">
                    <w:rPr>
                      <w:color w:val="000000"/>
                      <w:sz w:val="20"/>
                      <w:szCs w:val="20"/>
                    </w:rPr>
                    <w:t xml:space="preserve"> </w:t>
                  </w:r>
                  <w:r w:rsidRPr="00BF7956">
                    <w:rPr>
                      <w:b/>
                      <w:bCs/>
                      <w:color w:val="000000"/>
                      <w:sz w:val="20"/>
                      <w:szCs w:val="20"/>
                    </w:rPr>
                    <w:t xml:space="preserve">Obligaţiuni garantate reglementate </w:t>
                  </w:r>
                  <w:r w:rsidR="008804F4" w:rsidRPr="00BF7956">
                    <w:rPr>
                      <w:sz w:val="20"/>
                      <w:szCs w:val="20"/>
                    </w:rPr>
                    <w:t xml:space="preserve"> </w:t>
                  </w:r>
                  <w:r w:rsidR="008804F4" w:rsidRPr="00BF7956">
                    <w:rPr>
                      <w:color w:val="000000"/>
                      <w:sz w:val="20"/>
                      <w:szCs w:val="20"/>
                    </w:rPr>
                    <w:t>Cuantumul ieșirilor de numerar rezultate din titlurile de valoare emise, raportate la punctul 1.1, care reprezintă obligaţiuni eligibile pentru tratamentul prevăzut la articolul 129 alineatul (4) sau (5) din Regulamentul (UE) nr. 575/2013 sau la articolul 52 alineatul (4) din Directiva 2009/65/CE.</w:t>
                  </w:r>
                </w:p>
              </w:tc>
            </w:tr>
          </w:tbl>
          <w:p w14:paraId="0561F6D9"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4329" w:type="dxa"/>
              <w:tblLayout w:type="fixed"/>
              <w:tblLook w:val="04A0" w:firstRow="1" w:lastRow="0" w:firstColumn="1" w:lastColumn="0" w:noHBand="0" w:noVBand="1"/>
            </w:tblPr>
            <w:tblGrid>
              <w:gridCol w:w="697"/>
              <w:gridCol w:w="3632"/>
            </w:tblGrid>
            <w:tr w:rsidR="008E3BA7" w:rsidRPr="00BF7956" w14:paraId="7CCF7560" w14:textId="77777777" w:rsidTr="008804F4">
              <w:trPr>
                <w:trHeight w:val="690"/>
              </w:trPr>
              <w:tc>
                <w:tcPr>
                  <w:tcW w:w="697" w:type="dxa"/>
                </w:tcPr>
                <w:p w14:paraId="7FB4066E" w14:textId="4697CB7B" w:rsidR="008E3BA7" w:rsidRPr="00BF7956" w:rsidRDefault="008E3BA7" w:rsidP="008E3BA7">
                  <w:pPr>
                    <w:pStyle w:val="CM4"/>
                    <w:framePr w:hSpace="180" w:wrap="around" w:vAnchor="text" w:hAnchor="margin" w:y="137"/>
                    <w:spacing w:before="60" w:after="60"/>
                    <w:ind w:right="-13"/>
                    <w:rPr>
                      <w:i/>
                      <w:iCs/>
                      <w:color w:val="000000"/>
                      <w:sz w:val="20"/>
                      <w:szCs w:val="20"/>
                      <w:lang w:val="ro-RO"/>
                    </w:rPr>
                  </w:pPr>
                  <w:r w:rsidRPr="00BF7956">
                    <w:rPr>
                      <w:color w:val="000000"/>
                      <w:sz w:val="20"/>
                      <w:szCs w:val="20"/>
                    </w:rPr>
                    <w:t>0</w:t>
                  </w:r>
                  <w:r w:rsidR="008804F4" w:rsidRPr="00BF7956">
                    <w:rPr>
                      <w:color w:val="000000"/>
                      <w:sz w:val="20"/>
                      <w:szCs w:val="20"/>
                    </w:rPr>
                    <w:t>0</w:t>
                  </w:r>
                  <w:r w:rsidRPr="00BF7956">
                    <w:rPr>
                      <w:color w:val="000000"/>
                      <w:sz w:val="20"/>
                      <w:szCs w:val="20"/>
                    </w:rPr>
                    <w:t>30</w:t>
                  </w:r>
                </w:p>
              </w:tc>
              <w:tc>
                <w:tcPr>
                  <w:tcW w:w="3632" w:type="dxa"/>
                </w:tcPr>
                <w:p w14:paraId="3867AFC9" w14:textId="4CF11910"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1.1.2</w:t>
                  </w:r>
                  <w:r w:rsidRPr="00BF7956">
                    <w:rPr>
                      <w:color w:val="000000"/>
                      <w:sz w:val="20"/>
                      <w:szCs w:val="20"/>
                    </w:rPr>
                    <w:t xml:space="preserve"> </w:t>
                  </w:r>
                  <w:r w:rsidR="008804F4" w:rsidRPr="00BF7956">
                    <w:rPr>
                      <w:b/>
                      <w:bCs/>
                      <w:color w:val="000000"/>
                      <w:sz w:val="20"/>
                      <w:szCs w:val="20"/>
                    </w:rPr>
                    <w:t>Obligațiuni</w:t>
                  </w:r>
                  <w:r w:rsidRPr="00BF7956">
                    <w:rPr>
                      <w:b/>
                      <w:bCs/>
                      <w:color w:val="000000"/>
                      <w:sz w:val="20"/>
                      <w:szCs w:val="20"/>
                    </w:rPr>
                    <w:t xml:space="preserve"> garantate reglementate </w:t>
                  </w:r>
                  <w:r w:rsidRPr="00BF7956">
                    <w:rPr>
                      <w:rFonts w:eastAsia="Times New Roman"/>
                      <w:color w:val="333333"/>
                      <w:sz w:val="20"/>
                      <w:szCs w:val="20"/>
                      <w:lang w:eastAsia="ro-MD"/>
                    </w:rPr>
                    <w:t xml:space="preserve"> </w:t>
                  </w:r>
                </w:p>
              </w:tc>
            </w:tr>
          </w:tbl>
          <w:p w14:paraId="1A4786A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5056166" w14:textId="76BC6E9B" w:rsidR="008E3BA7" w:rsidRPr="00BF7956" w:rsidRDefault="008E3BA7" w:rsidP="008E3BA7">
            <w:pPr>
              <w:rPr>
                <w:bCs/>
                <w:sz w:val="20"/>
                <w:szCs w:val="20"/>
                <w:lang w:val="ro-RO"/>
              </w:rPr>
            </w:pPr>
            <w:r w:rsidRPr="00BF7956">
              <w:rPr>
                <w:bCs/>
                <w:sz w:val="20"/>
                <w:szCs w:val="20"/>
                <w:lang w:val="ro-RO"/>
              </w:rPr>
              <w:t>Necompatibil</w:t>
            </w:r>
          </w:p>
        </w:tc>
        <w:tc>
          <w:tcPr>
            <w:tcW w:w="2223" w:type="dxa"/>
          </w:tcPr>
          <w:p w14:paraId="7A7670C0" w14:textId="77B25F27"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2CD068C4" w14:textId="77777777" w:rsidR="008E3BA7" w:rsidRPr="00BF7956" w:rsidRDefault="008E3BA7" w:rsidP="008E3BA7">
            <w:pPr>
              <w:jc w:val="both"/>
              <w:rPr>
                <w:sz w:val="20"/>
                <w:szCs w:val="20"/>
                <w:lang w:val="ro-RO"/>
              </w:rPr>
            </w:pPr>
          </w:p>
        </w:tc>
        <w:tc>
          <w:tcPr>
            <w:tcW w:w="992" w:type="dxa"/>
          </w:tcPr>
          <w:p w14:paraId="524FFA26" w14:textId="77777777" w:rsidR="008E3BA7" w:rsidRPr="00BF7956" w:rsidRDefault="008E3BA7" w:rsidP="008E3BA7">
            <w:pPr>
              <w:jc w:val="both"/>
              <w:rPr>
                <w:sz w:val="20"/>
                <w:szCs w:val="20"/>
                <w:lang w:val="ro-RO"/>
              </w:rPr>
            </w:pPr>
          </w:p>
        </w:tc>
      </w:tr>
      <w:tr w:rsidR="008E3BA7" w:rsidRPr="002C43F1" w14:paraId="0109D4D9" w14:textId="77777777" w:rsidTr="00C25F84">
        <w:tc>
          <w:tcPr>
            <w:tcW w:w="4576" w:type="dxa"/>
          </w:tcPr>
          <w:tbl>
            <w:tblPr>
              <w:tblStyle w:val="TableGrid"/>
              <w:tblW w:w="4398" w:type="dxa"/>
              <w:tblLayout w:type="fixed"/>
              <w:tblLook w:val="04A0" w:firstRow="1" w:lastRow="0" w:firstColumn="1" w:lastColumn="0" w:noHBand="0" w:noVBand="1"/>
            </w:tblPr>
            <w:tblGrid>
              <w:gridCol w:w="715"/>
              <w:gridCol w:w="3683"/>
            </w:tblGrid>
            <w:tr w:rsidR="008E3BA7" w:rsidRPr="002C43F1" w14:paraId="3955526B" w14:textId="77777777" w:rsidTr="008226B8">
              <w:tc>
                <w:tcPr>
                  <w:tcW w:w="715" w:type="dxa"/>
                </w:tcPr>
                <w:p w14:paraId="7A5F92A9" w14:textId="6F9FE72D"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804F4" w:rsidRPr="00BF7956">
                    <w:rPr>
                      <w:color w:val="000000"/>
                      <w:sz w:val="20"/>
                      <w:szCs w:val="20"/>
                    </w:rPr>
                    <w:t>0</w:t>
                  </w:r>
                  <w:r w:rsidRPr="00BF7956">
                    <w:rPr>
                      <w:color w:val="000000"/>
                      <w:sz w:val="20"/>
                      <w:szCs w:val="20"/>
                    </w:rPr>
                    <w:t>40</w:t>
                  </w:r>
                </w:p>
              </w:tc>
              <w:tc>
                <w:tcPr>
                  <w:tcW w:w="3683" w:type="dxa"/>
                </w:tcPr>
                <w:p w14:paraId="105371B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1.1.3</w:t>
                  </w:r>
                  <w:r w:rsidRPr="00BF7956">
                    <w:rPr>
                      <w:color w:val="000000"/>
                      <w:sz w:val="20"/>
                      <w:szCs w:val="20"/>
                    </w:rPr>
                    <w:t xml:space="preserve"> </w:t>
                  </w:r>
                  <w:r w:rsidRPr="00BF7956">
                    <w:rPr>
                      <w:b/>
                      <w:bCs/>
                      <w:color w:val="000000"/>
                      <w:sz w:val="20"/>
                      <w:szCs w:val="20"/>
                    </w:rPr>
                    <w:t xml:space="preserve">Securitizări scadente </w:t>
                  </w:r>
                </w:p>
                <w:p w14:paraId="3F8A57C1" w14:textId="03318C99" w:rsidR="008E3BA7" w:rsidRPr="00BF7956" w:rsidRDefault="00057FD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rezultate din titlurile de valoare emise, raportate pe rândul 1.1, care reprezintă operaţiuni de securitizare cu terţi, în conformitate cu articolul 4 alineatul (1) punctul 61 din Regulamentul (UE) nr. 575/2013.</w:t>
                  </w:r>
                </w:p>
              </w:tc>
            </w:tr>
          </w:tbl>
          <w:p w14:paraId="5623825B" w14:textId="77777777" w:rsidR="008E3BA7" w:rsidRPr="00BF7956" w:rsidRDefault="008E3BA7" w:rsidP="008E3BA7">
            <w:pPr>
              <w:pStyle w:val="CM4"/>
              <w:spacing w:before="60" w:after="60"/>
              <w:rPr>
                <w:i/>
                <w:iCs/>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5"/>
              <w:gridCol w:w="3683"/>
            </w:tblGrid>
            <w:tr w:rsidR="008E3BA7" w:rsidRPr="00BF7956" w14:paraId="31E24E23" w14:textId="77777777" w:rsidTr="00CE67CE">
              <w:tc>
                <w:tcPr>
                  <w:tcW w:w="715" w:type="dxa"/>
                </w:tcPr>
                <w:p w14:paraId="5B5B437B" w14:textId="75264FB1"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804F4" w:rsidRPr="00BF7956">
                    <w:rPr>
                      <w:color w:val="000000"/>
                      <w:sz w:val="20"/>
                      <w:szCs w:val="20"/>
                    </w:rPr>
                    <w:t>0</w:t>
                  </w:r>
                  <w:r w:rsidRPr="00BF7956">
                    <w:rPr>
                      <w:color w:val="000000"/>
                      <w:sz w:val="20"/>
                      <w:szCs w:val="20"/>
                    </w:rPr>
                    <w:t>40</w:t>
                  </w:r>
                </w:p>
              </w:tc>
              <w:tc>
                <w:tcPr>
                  <w:tcW w:w="3683" w:type="dxa"/>
                </w:tcPr>
                <w:p w14:paraId="57389CC0" w14:textId="66DF6A49"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1.1.3</w:t>
                  </w:r>
                  <w:r w:rsidRPr="00BF7956">
                    <w:rPr>
                      <w:color w:val="000000"/>
                      <w:sz w:val="20"/>
                      <w:szCs w:val="20"/>
                    </w:rPr>
                    <w:t xml:space="preserve"> </w:t>
                  </w:r>
                  <w:r w:rsidRPr="00BF7956">
                    <w:rPr>
                      <w:b/>
                      <w:bCs/>
                      <w:color w:val="000000"/>
                      <w:sz w:val="20"/>
                      <w:szCs w:val="20"/>
                    </w:rPr>
                    <w:t xml:space="preserve">Securitizări scadente </w:t>
                  </w:r>
                </w:p>
              </w:tc>
            </w:tr>
          </w:tbl>
          <w:p w14:paraId="2B4CD09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CEB5ADE" w14:textId="2B156868"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2C09D5F5" w14:textId="2E8739C0" w:rsidR="008E3BA7" w:rsidRPr="00BF7956" w:rsidRDefault="008E3BA7" w:rsidP="008E3BA7">
            <w:pPr>
              <w:rPr>
                <w:sz w:val="20"/>
                <w:szCs w:val="20"/>
                <w:lang w:val="ro-RO"/>
              </w:rPr>
            </w:pPr>
            <w:r w:rsidRPr="00BF7956">
              <w:rPr>
                <w:sz w:val="20"/>
                <w:szCs w:val="20"/>
                <w:lang w:val="ro-RO"/>
              </w:rPr>
              <w:t xml:space="preserve">Prevederile aferente securitizărilor nu au fost transpuse, deoarece aceste instrumente, în prezent la nivelul Republicii Moldova nu sunt reglementate de cadrul primar aferent desfășurării acestor operațiuni, elaborarea </w:t>
            </w:r>
            <w:r w:rsidRPr="00BF7956">
              <w:rPr>
                <w:sz w:val="20"/>
                <w:szCs w:val="20"/>
                <w:lang w:val="ro-RO"/>
              </w:rPr>
              <w:lastRenderedPageBreak/>
              <w:t>căruia este de competența CNPF.</w:t>
            </w:r>
          </w:p>
        </w:tc>
        <w:tc>
          <w:tcPr>
            <w:tcW w:w="1134" w:type="dxa"/>
            <w:tcBorders>
              <w:top w:val="single" w:sz="4" w:space="0" w:color="auto"/>
              <w:bottom w:val="single" w:sz="4" w:space="0" w:color="auto"/>
            </w:tcBorders>
          </w:tcPr>
          <w:p w14:paraId="1061F3A5" w14:textId="77777777" w:rsidR="008E3BA7" w:rsidRPr="00BF7956" w:rsidRDefault="008E3BA7" w:rsidP="008E3BA7">
            <w:pPr>
              <w:jc w:val="both"/>
              <w:rPr>
                <w:sz w:val="20"/>
                <w:szCs w:val="20"/>
                <w:lang w:val="ro-RO"/>
              </w:rPr>
            </w:pPr>
          </w:p>
        </w:tc>
        <w:tc>
          <w:tcPr>
            <w:tcW w:w="992" w:type="dxa"/>
          </w:tcPr>
          <w:p w14:paraId="18CCBA0A" w14:textId="77777777" w:rsidR="008E3BA7" w:rsidRPr="00BF7956" w:rsidRDefault="008E3BA7" w:rsidP="008E3BA7">
            <w:pPr>
              <w:jc w:val="both"/>
              <w:rPr>
                <w:sz w:val="20"/>
                <w:szCs w:val="20"/>
                <w:lang w:val="ro-RO"/>
              </w:rPr>
            </w:pPr>
          </w:p>
        </w:tc>
      </w:tr>
      <w:tr w:rsidR="008E3BA7" w:rsidRPr="00BF7956" w14:paraId="2984AF13"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01DDF909" w14:textId="77777777" w:rsidTr="008226B8">
              <w:tc>
                <w:tcPr>
                  <w:tcW w:w="714" w:type="dxa"/>
                </w:tcPr>
                <w:p w14:paraId="19479B68" w14:textId="2C442EEC"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D049A6" w:rsidRPr="00BF7956">
                    <w:rPr>
                      <w:color w:val="000000"/>
                      <w:sz w:val="20"/>
                      <w:szCs w:val="20"/>
                    </w:rPr>
                    <w:t>0</w:t>
                  </w:r>
                  <w:r w:rsidRPr="00BF7956">
                    <w:rPr>
                      <w:color w:val="000000"/>
                      <w:sz w:val="20"/>
                      <w:szCs w:val="20"/>
                    </w:rPr>
                    <w:t>50</w:t>
                  </w:r>
                </w:p>
              </w:tc>
              <w:tc>
                <w:tcPr>
                  <w:tcW w:w="3684" w:type="dxa"/>
                </w:tcPr>
                <w:p w14:paraId="18DD8F3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1.1.4</w:t>
                  </w:r>
                  <w:r w:rsidRPr="00BF7956">
                    <w:rPr>
                      <w:color w:val="000000"/>
                      <w:sz w:val="20"/>
                      <w:szCs w:val="20"/>
                    </w:rPr>
                    <w:t xml:space="preserve"> </w:t>
                  </w:r>
                  <w:r w:rsidRPr="00BF7956">
                    <w:rPr>
                      <w:b/>
                      <w:bCs/>
                      <w:color w:val="000000"/>
                      <w:sz w:val="20"/>
                      <w:szCs w:val="20"/>
                    </w:rPr>
                    <w:t xml:space="preserve">Altele </w:t>
                  </w:r>
                </w:p>
                <w:p w14:paraId="6B2191A9" w14:textId="0F237568" w:rsidR="008E3BA7" w:rsidRPr="00BF7956" w:rsidRDefault="00D049A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rezultate din titlurile de valoare emise, raportate pe rândul 1.1, altele decât cele raportate în subcategoriile de mai sus.</w:t>
                  </w:r>
                </w:p>
              </w:tc>
            </w:tr>
          </w:tbl>
          <w:p w14:paraId="49137466"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194E3EB8" w14:textId="77777777" w:rsidTr="00CE67CE">
              <w:tc>
                <w:tcPr>
                  <w:tcW w:w="714" w:type="dxa"/>
                </w:tcPr>
                <w:p w14:paraId="58ACB1E6" w14:textId="7618576A"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D049A6" w:rsidRPr="00BF7956">
                    <w:rPr>
                      <w:color w:val="000000"/>
                      <w:sz w:val="20"/>
                      <w:szCs w:val="20"/>
                    </w:rPr>
                    <w:t>0</w:t>
                  </w:r>
                  <w:r w:rsidRPr="00BF7956">
                    <w:rPr>
                      <w:color w:val="000000"/>
                      <w:sz w:val="20"/>
                      <w:szCs w:val="20"/>
                    </w:rPr>
                    <w:t>50</w:t>
                  </w:r>
                </w:p>
              </w:tc>
              <w:tc>
                <w:tcPr>
                  <w:tcW w:w="3684" w:type="dxa"/>
                </w:tcPr>
                <w:p w14:paraId="7431BCF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1.1.4</w:t>
                  </w:r>
                  <w:r w:rsidRPr="00BF7956">
                    <w:rPr>
                      <w:color w:val="000000"/>
                      <w:sz w:val="20"/>
                      <w:szCs w:val="20"/>
                    </w:rPr>
                    <w:t xml:space="preserve"> </w:t>
                  </w:r>
                  <w:r w:rsidRPr="00BF7956">
                    <w:rPr>
                      <w:b/>
                      <w:bCs/>
                      <w:color w:val="000000"/>
                      <w:sz w:val="20"/>
                      <w:szCs w:val="20"/>
                    </w:rPr>
                    <w:t xml:space="preserve">Altele </w:t>
                  </w:r>
                </w:p>
                <w:p w14:paraId="332B2599" w14:textId="13C78C94" w:rsidR="008E3BA7" w:rsidRPr="00BF7956" w:rsidRDefault="00D049A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rezultate din titlurile de valoare emise, raportate la punctul 1.1, altele decât cele raportate în subcategoriile de mai sus.</w:t>
                  </w:r>
                </w:p>
              </w:tc>
            </w:tr>
          </w:tbl>
          <w:p w14:paraId="0A653AD5"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88EC5AF" w14:textId="07DEC75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842AF4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14B156D" w14:textId="77777777" w:rsidR="008E3BA7" w:rsidRPr="00BF7956" w:rsidRDefault="008E3BA7" w:rsidP="008E3BA7">
            <w:pPr>
              <w:jc w:val="both"/>
              <w:rPr>
                <w:sz w:val="20"/>
                <w:szCs w:val="20"/>
                <w:lang w:val="ro-RO"/>
              </w:rPr>
            </w:pPr>
          </w:p>
        </w:tc>
        <w:tc>
          <w:tcPr>
            <w:tcW w:w="992" w:type="dxa"/>
          </w:tcPr>
          <w:p w14:paraId="7881E03E" w14:textId="77777777" w:rsidR="008E3BA7" w:rsidRPr="00BF7956" w:rsidRDefault="008E3BA7" w:rsidP="008E3BA7">
            <w:pPr>
              <w:jc w:val="both"/>
              <w:rPr>
                <w:sz w:val="20"/>
                <w:szCs w:val="20"/>
                <w:lang w:val="ro-RO"/>
              </w:rPr>
            </w:pPr>
          </w:p>
        </w:tc>
      </w:tr>
      <w:tr w:rsidR="008E3BA7" w:rsidRPr="00BF7956" w14:paraId="3F476C8A"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09870CE6" w14:textId="77777777" w:rsidTr="002A7538">
              <w:tc>
                <w:tcPr>
                  <w:tcW w:w="714" w:type="dxa"/>
                </w:tcPr>
                <w:p w14:paraId="3BA76C77" w14:textId="21B5F4AA"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D049A6" w:rsidRPr="00BF7956">
                    <w:rPr>
                      <w:color w:val="000000"/>
                      <w:sz w:val="20"/>
                      <w:szCs w:val="20"/>
                    </w:rPr>
                    <w:t>0</w:t>
                  </w:r>
                  <w:r w:rsidRPr="00BF7956">
                    <w:rPr>
                      <w:color w:val="000000"/>
                      <w:sz w:val="20"/>
                      <w:szCs w:val="20"/>
                    </w:rPr>
                    <w:t>6</w:t>
                  </w:r>
                  <w:r w:rsidR="00D049A6" w:rsidRPr="00BF7956">
                    <w:rPr>
                      <w:color w:val="000000"/>
                      <w:sz w:val="20"/>
                      <w:szCs w:val="20"/>
                    </w:rPr>
                    <w:t>5</w:t>
                  </w:r>
                </w:p>
              </w:tc>
              <w:tc>
                <w:tcPr>
                  <w:tcW w:w="3684" w:type="dxa"/>
                </w:tcPr>
                <w:p w14:paraId="2CD978C2" w14:textId="77777777" w:rsidR="00D049A6" w:rsidRPr="00BF7956" w:rsidRDefault="00D049A6" w:rsidP="008E3BA7">
                  <w:pPr>
                    <w:pStyle w:val="CM4"/>
                    <w:framePr w:hSpace="180" w:wrap="around" w:vAnchor="text" w:hAnchor="margin" w:y="137"/>
                    <w:spacing w:before="60" w:after="60"/>
                    <w:rPr>
                      <w:color w:val="000000"/>
                      <w:sz w:val="20"/>
                      <w:szCs w:val="20"/>
                    </w:rPr>
                  </w:pPr>
                  <w:r w:rsidRPr="00BF7956">
                    <w:rPr>
                      <w:b/>
                      <w:bCs/>
                      <w:color w:val="000000"/>
                      <w:sz w:val="20"/>
                      <w:szCs w:val="20"/>
                    </w:rPr>
                    <w:t>1.2 Datorii rezultate din tranzacţii de creditare garantată și operaţiuni ajustate la condiţiile pieţei de capital, garantate cu (contrapartea nu este o bancă centrală):</w:t>
                  </w:r>
                  <w:r w:rsidRPr="00BF7956">
                    <w:rPr>
                      <w:color w:val="000000"/>
                      <w:sz w:val="20"/>
                      <w:szCs w:val="20"/>
                    </w:rPr>
                    <w:t xml:space="preserve"> cuantumul total al tuturor ieșirilor de numerar generate de tranzacţii de creditare garantată și operaţiuni ajustate la condiţiile pieţei de capital, în cazul în care contrapartea nu este o bancă centrală, astfel cum sunt definite la articolul 192 din Regulamentul (UE) nr. 575/2013. </w:t>
                  </w:r>
                </w:p>
                <w:p w14:paraId="20F8F2CB" w14:textId="686604F7" w:rsidR="008E3BA7" w:rsidRPr="00BF7956" w:rsidRDefault="00D049A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Notă: la acest punct se raportează doar fluxurile de numerar, iar fluxurile de titluri de valoare generate de tranzacţii de creditare garantată și de operaţiuni ajustate la condiţiile pieţei de capital se raportează în cadrul secţiunii „Capacitatea de compensare”.</w:t>
                  </w:r>
                </w:p>
              </w:tc>
            </w:tr>
          </w:tbl>
          <w:p w14:paraId="319339AE" w14:textId="77777777" w:rsidR="008E3BA7" w:rsidRPr="00BF7956" w:rsidRDefault="008E3BA7" w:rsidP="008E3BA7">
            <w:pPr>
              <w:pStyle w:val="CM4"/>
              <w:spacing w:before="60" w:after="60"/>
              <w:rPr>
                <w:i/>
                <w:iCs/>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61F6DEB5" w14:textId="77777777" w:rsidTr="00CE67CE">
              <w:tc>
                <w:tcPr>
                  <w:tcW w:w="714" w:type="dxa"/>
                </w:tcPr>
                <w:p w14:paraId="2DBB624B" w14:textId="2D673FA1"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D049A6" w:rsidRPr="00BF7956">
                    <w:rPr>
                      <w:color w:val="000000"/>
                      <w:sz w:val="20"/>
                      <w:szCs w:val="20"/>
                    </w:rPr>
                    <w:t>0</w:t>
                  </w:r>
                  <w:r w:rsidRPr="00BF7956">
                    <w:rPr>
                      <w:color w:val="000000"/>
                      <w:sz w:val="20"/>
                      <w:szCs w:val="20"/>
                    </w:rPr>
                    <w:t>6</w:t>
                  </w:r>
                  <w:r w:rsidR="00D049A6" w:rsidRPr="00BF7956">
                    <w:rPr>
                      <w:color w:val="000000"/>
                      <w:sz w:val="20"/>
                      <w:szCs w:val="20"/>
                    </w:rPr>
                    <w:t>5</w:t>
                  </w:r>
                </w:p>
              </w:tc>
              <w:tc>
                <w:tcPr>
                  <w:tcW w:w="3684" w:type="dxa"/>
                </w:tcPr>
                <w:p w14:paraId="5D873D40" w14:textId="77777777" w:rsidR="00D049A6" w:rsidRPr="00BF7956" w:rsidRDefault="00D049A6" w:rsidP="00D049A6">
                  <w:pPr>
                    <w:pStyle w:val="CM4"/>
                    <w:framePr w:hSpace="180" w:wrap="around" w:vAnchor="text" w:hAnchor="margin" w:y="137"/>
                    <w:spacing w:before="60" w:after="60"/>
                    <w:rPr>
                      <w:b/>
                      <w:bCs/>
                      <w:color w:val="000000"/>
                      <w:sz w:val="20"/>
                      <w:szCs w:val="20"/>
                    </w:rPr>
                  </w:pPr>
                  <w:r w:rsidRPr="00BF7956">
                    <w:rPr>
                      <w:b/>
                      <w:bCs/>
                      <w:color w:val="000000"/>
                      <w:sz w:val="20"/>
                      <w:szCs w:val="20"/>
                    </w:rPr>
                    <w:t>1.2</w:t>
                  </w:r>
                  <w:r w:rsidRPr="00BF7956">
                    <w:rPr>
                      <w:color w:val="000000"/>
                      <w:sz w:val="20"/>
                      <w:szCs w:val="20"/>
                    </w:rPr>
                    <w:t xml:space="preserve"> </w:t>
                  </w:r>
                  <w:r w:rsidRPr="00BF7956">
                    <w:rPr>
                      <w:b/>
                      <w:bCs/>
                      <w:color w:val="000000"/>
                      <w:sz w:val="20"/>
                      <w:szCs w:val="20"/>
                    </w:rPr>
                    <w:t xml:space="preserve">Datorii rezultate din tranzacții de creditare garantată și operațiuni ajustate la condițiile pieței de capital garantate cu  (contrapartea nu este o </w:t>
                  </w:r>
                </w:p>
                <w:p w14:paraId="28459E70" w14:textId="77777777" w:rsidR="00D049A6" w:rsidRPr="00BF7956" w:rsidRDefault="00D049A6" w:rsidP="00D049A6">
                  <w:pPr>
                    <w:pStyle w:val="CM4"/>
                    <w:framePr w:hSpace="180" w:wrap="around" w:vAnchor="text" w:hAnchor="margin" w:y="137"/>
                    <w:spacing w:before="60" w:after="60"/>
                    <w:rPr>
                      <w:b/>
                      <w:bCs/>
                      <w:color w:val="000000"/>
                      <w:sz w:val="20"/>
                      <w:szCs w:val="20"/>
                    </w:rPr>
                  </w:pPr>
                  <w:r w:rsidRPr="00BF7956">
                    <w:rPr>
                      <w:b/>
                      <w:bCs/>
                      <w:color w:val="000000"/>
                      <w:sz w:val="20"/>
                      <w:szCs w:val="20"/>
                    </w:rPr>
                    <w:t>bancă centrală):</w:t>
                  </w:r>
                </w:p>
                <w:p w14:paraId="11DBEE88" w14:textId="55ADA138" w:rsidR="00D049A6" w:rsidRPr="00BF7956" w:rsidRDefault="00D049A6" w:rsidP="00D049A6">
                  <w:pPr>
                    <w:pStyle w:val="CM4"/>
                    <w:framePr w:hSpace="180" w:wrap="around" w:vAnchor="text" w:hAnchor="margin" w:y="137"/>
                    <w:spacing w:before="60" w:after="60"/>
                    <w:rPr>
                      <w:color w:val="000000"/>
                      <w:sz w:val="20"/>
                      <w:szCs w:val="20"/>
                    </w:rPr>
                  </w:pPr>
                  <w:r w:rsidRPr="00BF7956">
                    <w:rPr>
                      <w:color w:val="000000"/>
                      <w:sz w:val="20"/>
                      <w:szCs w:val="20"/>
                    </w:rPr>
                    <w:t xml:space="preserve">Cuantumul total al ieșirilor de numerar generate de tranzacții de creditare garantată și de operațiuni ajustate la condițiile pieței de capital, astfel cum sunt definite la punctul 3 din Regulamentul nr. 112/2018 cu privire la tehnicile de diminuare a riscului de credit utilizate de bănci. </w:t>
                  </w:r>
                </w:p>
                <w:p w14:paraId="08B6A57A" w14:textId="279A2B86" w:rsidR="008E3BA7" w:rsidRPr="00BF7956" w:rsidRDefault="00D049A6" w:rsidP="00D049A6">
                  <w:pPr>
                    <w:pStyle w:val="CM4"/>
                    <w:framePr w:hSpace="180" w:wrap="around" w:vAnchor="text" w:hAnchor="margin" w:y="137"/>
                    <w:spacing w:before="60" w:after="60"/>
                    <w:rPr>
                      <w:i/>
                      <w:iCs/>
                      <w:color w:val="000000"/>
                      <w:sz w:val="20"/>
                      <w:szCs w:val="20"/>
                      <w:lang w:val="ro-RO"/>
                    </w:rPr>
                  </w:pPr>
                  <w:r w:rsidRPr="00BF7956">
                    <w:rPr>
                      <w:color w:val="000000"/>
                      <w:sz w:val="20"/>
                      <w:szCs w:val="20"/>
                    </w:rPr>
                    <w:t xml:space="preserve">Băncile raportează </w:t>
                  </w:r>
                  <w:r w:rsidR="00BB5D62">
                    <w:rPr>
                      <w:color w:val="000000"/>
                      <w:sz w:val="20"/>
                      <w:szCs w:val="20"/>
                    </w:rPr>
                    <w:t xml:space="preserve">doar </w:t>
                  </w:r>
                  <w:r w:rsidRPr="00BF7956">
                    <w:rPr>
                      <w:color w:val="000000"/>
                      <w:sz w:val="20"/>
                      <w:szCs w:val="20"/>
                    </w:rPr>
                    <w:t>fluxurile de numerar. Fluxurile de titluri de valoare în ceea ce privește tranzacțiile de creditare garantată și operațiunile ajustate la condițiile pieței de capital se raportează în cadrul secțiunii „Capacitatea de compensare”.</w:t>
                  </w:r>
                </w:p>
              </w:tc>
            </w:tr>
          </w:tbl>
          <w:p w14:paraId="781889D8"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06D282A" w14:textId="1EBC999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6AAC77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0B33C3B" w14:textId="77777777" w:rsidR="008E3BA7" w:rsidRPr="00BF7956" w:rsidRDefault="008E3BA7" w:rsidP="008E3BA7">
            <w:pPr>
              <w:jc w:val="both"/>
              <w:rPr>
                <w:sz w:val="20"/>
                <w:szCs w:val="20"/>
                <w:lang w:val="ro-RO"/>
              </w:rPr>
            </w:pPr>
          </w:p>
        </w:tc>
        <w:tc>
          <w:tcPr>
            <w:tcW w:w="992" w:type="dxa"/>
          </w:tcPr>
          <w:p w14:paraId="271A8405" w14:textId="77777777" w:rsidR="008E3BA7" w:rsidRPr="00BF7956" w:rsidRDefault="008E3BA7" w:rsidP="008E3BA7">
            <w:pPr>
              <w:jc w:val="both"/>
              <w:rPr>
                <w:sz w:val="20"/>
                <w:szCs w:val="20"/>
                <w:lang w:val="ro-RO"/>
              </w:rPr>
            </w:pPr>
          </w:p>
        </w:tc>
      </w:tr>
      <w:tr w:rsidR="00D049A6" w:rsidRPr="002C43F1" w14:paraId="350A6B53"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D049A6" w:rsidRPr="002C43F1" w14:paraId="5AB5A775" w14:textId="77777777" w:rsidTr="00C63E97">
              <w:tc>
                <w:tcPr>
                  <w:tcW w:w="714" w:type="dxa"/>
                </w:tcPr>
                <w:p w14:paraId="6CC87634" w14:textId="374AD974" w:rsidR="00D049A6" w:rsidRPr="00BF7956" w:rsidRDefault="00D049A6" w:rsidP="00D049A6">
                  <w:pPr>
                    <w:pStyle w:val="CM4"/>
                    <w:framePr w:hSpace="180" w:wrap="around" w:vAnchor="text" w:hAnchor="margin" w:y="137"/>
                    <w:spacing w:before="60" w:after="60"/>
                    <w:rPr>
                      <w:i/>
                      <w:iCs/>
                      <w:color w:val="000000"/>
                      <w:sz w:val="20"/>
                      <w:szCs w:val="20"/>
                      <w:lang w:val="ro-RO"/>
                    </w:rPr>
                  </w:pPr>
                  <w:r w:rsidRPr="00BF7956">
                    <w:rPr>
                      <w:color w:val="000000"/>
                      <w:sz w:val="20"/>
                      <w:szCs w:val="20"/>
                    </w:rPr>
                    <w:t>0066</w:t>
                  </w:r>
                </w:p>
              </w:tc>
              <w:tc>
                <w:tcPr>
                  <w:tcW w:w="3684" w:type="dxa"/>
                </w:tcPr>
                <w:p w14:paraId="78BBE10D" w14:textId="2BA79150" w:rsidR="00D049A6" w:rsidRPr="00BF7956" w:rsidRDefault="00D049A6" w:rsidP="00D049A6">
                  <w:pPr>
                    <w:pStyle w:val="CM4"/>
                    <w:framePr w:hSpace="180" w:wrap="around" w:vAnchor="text" w:hAnchor="margin" w:y="137"/>
                    <w:spacing w:before="60" w:after="60"/>
                    <w:rPr>
                      <w:i/>
                      <w:iCs/>
                      <w:color w:val="000000"/>
                      <w:sz w:val="20"/>
                      <w:szCs w:val="20"/>
                      <w:lang w:val="ro-RO"/>
                    </w:rPr>
                  </w:pPr>
                  <w:r w:rsidRPr="00BF7956">
                    <w:rPr>
                      <w:b/>
                      <w:bCs/>
                      <w:color w:val="000000"/>
                      <w:sz w:val="20"/>
                      <w:szCs w:val="20"/>
                    </w:rPr>
                    <w:t xml:space="preserve">1.2.0.1 din care: intragrup sau IPS </w:t>
                  </w:r>
                  <w:r w:rsidRPr="00BF7956">
                    <w:rPr>
                      <w:color w:val="000000"/>
                      <w:sz w:val="20"/>
                      <w:szCs w:val="20"/>
                    </w:rPr>
                    <w:t xml:space="preserve">Cuantumul ieșirilor de la punctul 1.2 în cazul în care contrapartea este o instituţie- mamă sau o filială a instituţiei sau o altă filială a aceleiași instituţii-mamă ori este legată de instituţia de credit printr-o relaţie în sensul articolului 22 alineatul (7) din Directiva 2013/34/UE sau este un membru al aceluiași sistem instituţional de protecţie menţionat la articolul 113 alineatul (7) din </w:t>
                  </w:r>
                  <w:r w:rsidRPr="00BF7956">
                    <w:rPr>
                      <w:color w:val="000000"/>
                      <w:sz w:val="20"/>
                      <w:szCs w:val="20"/>
                    </w:rPr>
                    <w:lastRenderedPageBreak/>
                    <w:t>Regulamentul (UE) nr. 575/2013 sau este instituţia centrală sau o instituţie afiliată unei reţele sau unui grup cooperatist, astfel cum se prevede la articolul 10 din Regulamentul (UE) nr. 575/2013.</w:t>
                  </w:r>
                </w:p>
              </w:tc>
            </w:tr>
          </w:tbl>
          <w:p w14:paraId="775370CC" w14:textId="77777777" w:rsidR="00D049A6" w:rsidRPr="00BF7956" w:rsidRDefault="00D049A6" w:rsidP="008E3BA7">
            <w:pPr>
              <w:pStyle w:val="CM4"/>
              <w:spacing w:before="60" w:after="60"/>
              <w:rPr>
                <w:color w:val="000000"/>
                <w:sz w:val="20"/>
                <w:szCs w:val="20"/>
                <w:lang w:val="en-US"/>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D049A6" w:rsidRPr="002C43F1" w14:paraId="355881CB" w14:textId="77777777" w:rsidTr="00C63E97">
              <w:tc>
                <w:tcPr>
                  <w:tcW w:w="714" w:type="dxa"/>
                </w:tcPr>
                <w:p w14:paraId="0E85894B" w14:textId="77777777" w:rsidR="00D049A6" w:rsidRPr="00BF7956" w:rsidRDefault="00D049A6" w:rsidP="00D049A6">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0066</w:t>
                  </w:r>
                </w:p>
              </w:tc>
              <w:tc>
                <w:tcPr>
                  <w:tcW w:w="3684" w:type="dxa"/>
                </w:tcPr>
                <w:p w14:paraId="33F0BB91" w14:textId="38DFD194" w:rsidR="00D049A6" w:rsidRPr="00BF7956" w:rsidRDefault="00D049A6" w:rsidP="00D049A6">
                  <w:pPr>
                    <w:pStyle w:val="CM4"/>
                    <w:framePr w:hSpace="180" w:wrap="around" w:vAnchor="text" w:hAnchor="margin" w:y="137"/>
                    <w:spacing w:before="60" w:after="60"/>
                    <w:rPr>
                      <w:i/>
                      <w:iCs/>
                      <w:color w:val="000000"/>
                      <w:sz w:val="20"/>
                      <w:szCs w:val="20"/>
                      <w:lang w:val="ro-RO"/>
                    </w:rPr>
                  </w:pPr>
                  <w:r w:rsidRPr="00BF7956">
                    <w:rPr>
                      <w:b/>
                      <w:bCs/>
                      <w:color w:val="000000"/>
                      <w:sz w:val="20"/>
                      <w:szCs w:val="20"/>
                    </w:rPr>
                    <w:t xml:space="preserve">1.2.0.1 din care: intragrup sau IPS </w:t>
                  </w:r>
                </w:p>
              </w:tc>
            </w:tr>
          </w:tbl>
          <w:p w14:paraId="571B2E61" w14:textId="77777777" w:rsidR="00D049A6" w:rsidRPr="00BF7956" w:rsidRDefault="00D049A6" w:rsidP="008E3BA7">
            <w:pPr>
              <w:pStyle w:val="CM4"/>
              <w:spacing w:before="60" w:after="60"/>
              <w:rPr>
                <w:color w:val="000000"/>
                <w:sz w:val="20"/>
                <w:szCs w:val="20"/>
                <w:lang w:val="en-US"/>
              </w:rPr>
            </w:pPr>
          </w:p>
        </w:tc>
        <w:tc>
          <w:tcPr>
            <w:tcW w:w="1418" w:type="dxa"/>
          </w:tcPr>
          <w:p w14:paraId="48CF2B36" w14:textId="0703B514" w:rsidR="00D049A6" w:rsidRPr="00BF7956" w:rsidRDefault="004739D6" w:rsidP="008E3BA7">
            <w:pPr>
              <w:rPr>
                <w:bCs/>
                <w:sz w:val="20"/>
                <w:szCs w:val="20"/>
                <w:lang w:val="ro-RO"/>
              </w:rPr>
            </w:pPr>
            <w:r w:rsidRPr="00BF7956">
              <w:rPr>
                <w:bCs/>
                <w:sz w:val="20"/>
                <w:szCs w:val="20"/>
                <w:lang w:val="ro-RO"/>
              </w:rPr>
              <w:t>Necompatibil</w:t>
            </w:r>
          </w:p>
        </w:tc>
        <w:tc>
          <w:tcPr>
            <w:tcW w:w="2223" w:type="dxa"/>
          </w:tcPr>
          <w:p w14:paraId="4EB986A4" w14:textId="47FEE82B" w:rsidR="00D049A6" w:rsidRPr="00BF7956" w:rsidRDefault="00BF7956" w:rsidP="00BF7956">
            <w:pPr>
              <w:rPr>
                <w:sz w:val="20"/>
                <w:szCs w:val="20"/>
                <w:lang w:val="ro-RO"/>
              </w:rPr>
            </w:pPr>
            <w:r w:rsidRPr="00BF7956">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3E6F1B1E" w14:textId="77777777" w:rsidR="00D049A6" w:rsidRPr="00BF7956" w:rsidRDefault="00D049A6" w:rsidP="008E3BA7">
            <w:pPr>
              <w:jc w:val="both"/>
              <w:rPr>
                <w:sz w:val="20"/>
                <w:szCs w:val="20"/>
                <w:lang w:val="ro-RO"/>
              </w:rPr>
            </w:pPr>
          </w:p>
        </w:tc>
        <w:tc>
          <w:tcPr>
            <w:tcW w:w="992" w:type="dxa"/>
          </w:tcPr>
          <w:p w14:paraId="47702A0F" w14:textId="77777777" w:rsidR="00D049A6" w:rsidRPr="00BF7956" w:rsidRDefault="00D049A6" w:rsidP="008E3BA7">
            <w:pPr>
              <w:jc w:val="both"/>
              <w:rPr>
                <w:sz w:val="20"/>
                <w:szCs w:val="20"/>
                <w:lang w:val="ro-RO"/>
              </w:rPr>
            </w:pPr>
          </w:p>
        </w:tc>
      </w:tr>
      <w:tr w:rsidR="008E3BA7" w:rsidRPr="00BF7956" w14:paraId="2EDFEAA2" w14:textId="77777777" w:rsidTr="00C25F84">
        <w:tc>
          <w:tcPr>
            <w:tcW w:w="4576" w:type="dxa"/>
          </w:tcPr>
          <w:tbl>
            <w:tblPr>
              <w:tblStyle w:val="TableGrid"/>
              <w:tblW w:w="4392" w:type="dxa"/>
              <w:tblLayout w:type="fixed"/>
              <w:tblLook w:val="04A0" w:firstRow="1" w:lastRow="0" w:firstColumn="1" w:lastColumn="0" w:noHBand="0" w:noVBand="1"/>
            </w:tblPr>
            <w:tblGrid>
              <w:gridCol w:w="708"/>
              <w:gridCol w:w="3684"/>
            </w:tblGrid>
            <w:tr w:rsidR="008E3BA7" w:rsidRPr="002C43F1" w14:paraId="6C9B4BA6" w14:textId="77777777" w:rsidTr="00A8467C">
              <w:tc>
                <w:tcPr>
                  <w:tcW w:w="708" w:type="dxa"/>
                </w:tcPr>
                <w:p w14:paraId="1D067B0B" w14:textId="1096E8D2" w:rsidR="008E3BA7" w:rsidRPr="00BF7956" w:rsidRDefault="004739D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0075</w:t>
                  </w:r>
                </w:p>
              </w:tc>
              <w:tc>
                <w:tcPr>
                  <w:tcW w:w="3684" w:type="dxa"/>
                </w:tcPr>
                <w:p w14:paraId="1CAB2446" w14:textId="5832D8D6" w:rsidR="008E3BA7" w:rsidRPr="00BF7956" w:rsidRDefault="004739D6"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 xml:space="preserve">1.2.1 Active tranzacţionabile de nivel 1 </w:t>
                  </w:r>
                  <w:r w:rsidRPr="00BF7956">
                    <w:rPr>
                      <w:color w:val="000000"/>
                      <w:sz w:val="20"/>
                      <w:szCs w:val="20"/>
                    </w:rPr>
                    <w:t>Cuantumul ieșirilor de numerar raportate la punctul 1.2 care sunt garantate cu active tranzacţionabile care ar îndeplini cerinţele prevăzute la articolele 7, 8 și 10 din Regulamentul delegat (UE) 2015/61 dacă nu ar garanta respectiva tranzacţie. Acţiunile sau unităţile deţinute în OPC-uri în conformitate cu articolul 15 din Regulamentul delegat (UE) 2015/61 care se califică drept active de nivel 1 se raportează în subcategoriile de mai jos corespunzătoare activelor-suport ale acestora.</w:t>
                  </w:r>
                </w:p>
              </w:tc>
            </w:tr>
          </w:tbl>
          <w:p w14:paraId="46EAA8D9" w14:textId="77777777" w:rsidR="008E3BA7" w:rsidRPr="00BF7956" w:rsidRDefault="008E3BA7" w:rsidP="008E3BA7">
            <w:pPr>
              <w:pStyle w:val="CM4"/>
              <w:spacing w:before="60" w:after="60"/>
              <w:rPr>
                <w:i/>
                <w:iCs/>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08"/>
              <w:gridCol w:w="3684"/>
            </w:tblGrid>
            <w:tr w:rsidR="008E3BA7" w:rsidRPr="002C43F1" w14:paraId="1050854E" w14:textId="77777777" w:rsidTr="00CE67CE">
              <w:tc>
                <w:tcPr>
                  <w:tcW w:w="708" w:type="dxa"/>
                </w:tcPr>
                <w:p w14:paraId="15A03D57" w14:textId="5E3304D3"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4739D6" w:rsidRPr="00BF7956">
                    <w:rPr>
                      <w:color w:val="000000"/>
                      <w:sz w:val="20"/>
                      <w:szCs w:val="20"/>
                    </w:rPr>
                    <w:t>075</w:t>
                  </w:r>
                </w:p>
              </w:tc>
              <w:tc>
                <w:tcPr>
                  <w:tcW w:w="3684" w:type="dxa"/>
                </w:tcPr>
                <w:p w14:paraId="76F9A000" w14:textId="77777777" w:rsidR="004739D6" w:rsidRPr="00BF7956" w:rsidRDefault="004739D6" w:rsidP="004739D6">
                  <w:pPr>
                    <w:pStyle w:val="CM4"/>
                    <w:framePr w:hSpace="180" w:wrap="around" w:vAnchor="text" w:hAnchor="margin" w:y="137"/>
                    <w:spacing w:before="60" w:after="60"/>
                    <w:rPr>
                      <w:b/>
                      <w:bCs/>
                      <w:color w:val="000000"/>
                      <w:sz w:val="20"/>
                      <w:szCs w:val="20"/>
                      <w:lang w:val="ro-RO"/>
                    </w:rPr>
                  </w:pPr>
                  <w:r w:rsidRPr="00BF7956">
                    <w:rPr>
                      <w:b/>
                      <w:bCs/>
                      <w:color w:val="000000"/>
                      <w:sz w:val="20"/>
                      <w:szCs w:val="20"/>
                      <w:lang w:val="ro-RO"/>
                    </w:rPr>
                    <w:t>1.2.1 Active tranzacționabile de nivel 1</w:t>
                  </w:r>
                </w:p>
                <w:p w14:paraId="617C0F57" w14:textId="443127CE" w:rsidR="004739D6" w:rsidRPr="00BF7956" w:rsidRDefault="004739D6" w:rsidP="004739D6">
                  <w:pPr>
                    <w:pStyle w:val="CM4"/>
                    <w:framePr w:hSpace="180" w:wrap="around" w:vAnchor="text" w:hAnchor="margin" w:y="137"/>
                    <w:spacing w:before="60" w:after="60"/>
                    <w:rPr>
                      <w:color w:val="000000"/>
                      <w:sz w:val="20"/>
                      <w:szCs w:val="20"/>
                      <w:lang w:val="ro-RO"/>
                    </w:rPr>
                  </w:pPr>
                  <w:r w:rsidRPr="00BF7956">
                    <w:rPr>
                      <w:color w:val="000000"/>
                      <w:sz w:val="20"/>
                      <w:szCs w:val="20"/>
                      <w:lang w:val="ro-RO"/>
                    </w:rPr>
                    <w:t xml:space="preserve">Cuantumul ieșirilor de numerar raportate la punctul 1.2 garantate cu active tranzacționabile care ar îndeplini cerințele prevăzute la punctele 21-29, 31 și 32 din Regulamentul nr.44/2020 privind cerinţele de acoperire a necesarului de lichiditate pentru bănci, dacă nu ar garanta respectiva tranzacție. </w:t>
                  </w:r>
                </w:p>
                <w:p w14:paraId="3F5DE615" w14:textId="6F6579CF" w:rsidR="008E3BA7" w:rsidRPr="00BF7956" w:rsidRDefault="004739D6" w:rsidP="004739D6">
                  <w:pPr>
                    <w:pStyle w:val="CM4"/>
                    <w:framePr w:hSpace="180" w:wrap="around" w:vAnchor="text" w:hAnchor="margin" w:y="137"/>
                    <w:spacing w:before="60" w:after="60"/>
                    <w:rPr>
                      <w:color w:val="000000"/>
                      <w:sz w:val="20"/>
                      <w:szCs w:val="20"/>
                      <w:lang w:val="ro-RO"/>
                    </w:rPr>
                  </w:pPr>
                  <w:r w:rsidRPr="00BF7956">
                    <w:rPr>
                      <w:color w:val="000000"/>
                      <w:sz w:val="20"/>
                      <w:szCs w:val="20"/>
                      <w:lang w:val="ro-RO"/>
                    </w:rPr>
                    <w:t>Acțiunile sau unitățile deținute în OPC-uri în conformitate cu punctele 37-41 din Regulamentul nr.44/2020 privind cerinţele de acoperire a necesarului de lichiditate pentru bănci care se califică drept active de nivel 1 se raportează în subcategoriile de mai jos corespunzătoare activelor-suport ale acestora.</w:t>
                  </w:r>
                </w:p>
              </w:tc>
            </w:tr>
          </w:tbl>
          <w:p w14:paraId="335C67D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B09A415" w14:textId="5654C5F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BE8C42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BBAA047" w14:textId="77777777" w:rsidR="008E3BA7" w:rsidRPr="00BF7956" w:rsidRDefault="008E3BA7" w:rsidP="008E3BA7">
            <w:pPr>
              <w:jc w:val="both"/>
              <w:rPr>
                <w:sz w:val="20"/>
                <w:szCs w:val="20"/>
                <w:lang w:val="ro-RO"/>
              </w:rPr>
            </w:pPr>
          </w:p>
        </w:tc>
        <w:tc>
          <w:tcPr>
            <w:tcW w:w="992" w:type="dxa"/>
          </w:tcPr>
          <w:p w14:paraId="71A3AAE4" w14:textId="77777777" w:rsidR="008E3BA7" w:rsidRPr="00BF7956" w:rsidRDefault="008E3BA7" w:rsidP="008E3BA7">
            <w:pPr>
              <w:jc w:val="both"/>
              <w:rPr>
                <w:sz w:val="20"/>
                <w:szCs w:val="20"/>
                <w:lang w:val="ro-RO"/>
              </w:rPr>
            </w:pPr>
          </w:p>
        </w:tc>
      </w:tr>
      <w:tr w:rsidR="008E3BA7" w:rsidRPr="00BF7956" w14:paraId="637289DD"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194C58E7" w14:textId="77777777" w:rsidTr="00A8467C">
              <w:tc>
                <w:tcPr>
                  <w:tcW w:w="714" w:type="dxa"/>
                </w:tcPr>
                <w:p w14:paraId="5F24B3DA" w14:textId="10CCF2D5" w:rsidR="008E3BA7" w:rsidRPr="00BF7956" w:rsidRDefault="000B0BF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0085</w:t>
                  </w:r>
                </w:p>
              </w:tc>
              <w:tc>
                <w:tcPr>
                  <w:tcW w:w="3684" w:type="dxa"/>
                </w:tcPr>
                <w:p w14:paraId="4B9D6A51" w14:textId="77777777" w:rsidR="000B0BF9" w:rsidRPr="00BF7956" w:rsidRDefault="000B0BF9"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1.2.1.1 Active de nivel 1, exceptând obligaţiunile garantate </w:t>
                  </w:r>
                </w:p>
                <w:p w14:paraId="1E14A6B6" w14:textId="0AF7484D" w:rsidR="008E3BA7" w:rsidRPr="00BF7956" w:rsidRDefault="000B0BF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1.2.1 care sunt garantate cu active care nu sunt obligaţiuni garantate.</w:t>
                  </w:r>
                </w:p>
              </w:tc>
            </w:tr>
          </w:tbl>
          <w:p w14:paraId="4A9D7AFC"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714FEC0C" w14:textId="77777777" w:rsidTr="00CE67CE">
              <w:tc>
                <w:tcPr>
                  <w:tcW w:w="714" w:type="dxa"/>
                </w:tcPr>
                <w:p w14:paraId="417CF605" w14:textId="5A41252B"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0B0BF9" w:rsidRPr="00BF7956">
                    <w:rPr>
                      <w:color w:val="000000"/>
                      <w:sz w:val="20"/>
                      <w:szCs w:val="20"/>
                    </w:rPr>
                    <w:t>085</w:t>
                  </w:r>
                </w:p>
              </w:tc>
              <w:tc>
                <w:tcPr>
                  <w:tcW w:w="3684" w:type="dxa"/>
                </w:tcPr>
                <w:p w14:paraId="1DE5F594" w14:textId="77777777" w:rsidR="000B0BF9" w:rsidRPr="00BF7956" w:rsidRDefault="000B0BF9" w:rsidP="000B0BF9">
                  <w:pPr>
                    <w:pStyle w:val="CM4"/>
                    <w:framePr w:hSpace="180" w:wrap="around" w:vAnchor="text" w:hAnchor="margin" w:y="137"/>
                    <w:spacing w:before="60" w:after="60"/>
                    <w:rPr>
                      <w:b/>
                      <w:bCs/>
                      <w:color w:val="000000"/>
                      <w:sz w:val="20"/>
                      <w:szCs w:val="20"/>
                    </w:rPr>
                  </w:pPr>
                  <w:r w:rsidRPr="00BF7956">
                    <w:rPr>
                      <w:b/>
                      <w:bCs/>
                      <w:color w:val="000000"/>
                      <w:sz w:val="20"/>
                      <w:szCs w:val="20"/>
                    </w:rPr>
                    <w:t>1.2.1.1 Active de nivel 1, exceptând obligațiunile garantate</w:t>
                  </w:r>
                </w:p>
                <w:p w14:paraId="2876D180" w14:textId="28B1B162" w:rsidR="008E3BA7" w:rsidRPr="00BF7956" w:rsidRDefault="000B0BF9" w:rsidP="000B0BF9">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1.2.1 garantate cu active care nu sunt obligațiuni garantate.</w:t>
                  </w:r>
                </w:p>
              </w:tc>
            </w:tr>
          </w:tbl>
          <w:p w14:paraId="1684033F"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617D385D" w14:textId="2A8B1EE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BE835A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65E4645" w14:textId="77777777" w:rsidR="008E3BA7" w:rsidRPr="00BF7956" w:rsidRDefault="008E3BA7" w:rsidP="008E3BA7">
            <w:pPr>
              <w:jc w:val="both"/>
              <w:rPr>
                <w:sz w:val="20"/>
                <w:szCs w:val="20"/>
                <w:lang w:val="ro-RO"/>
              </w:rPr>
            </w:pPr>
          </w:p>
        </w:tc>
        <w:tc>
          <w:tcPr>
            <w:tcW w:w="992" w:type="dxa"/>
          </w:tcPr>
          <w:p w14:paraId="59BA844E" w14:textId="77777777" w:rsidR="008E3BA7" w:rsidRPr="00BF7956" w:rsidRDefault="008E3BA7" w:rsidP="008E3BA7">
            <w:pPr>
              <w:jc w:val="both"/>
              <w:rPr>
                <w:sz w:val="20"/>
                <w:szCs w:val="20"/>
                <w:lang w:val="ro-RO"/>
              </w:rPr>
            </w:pPr>
          </w:p>
        </w:tc>
      </w:tr>
      <w:tr w:rsidR="008E3BA7" w:rsidRPr="00BF7956" w14:paraId="015A398F"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22686FE3" w14:textId="77777777" w:rsidTr="00A8467C">
              <w:tc>
                <w:tcPr>
                  <w:tcW w:w="714" w:type="dxa"/>
                </w:tcPr>
                <w:p w14:paraId="3A88FAFD" w14:textId="5EFA8849" w:rsidR="008E3BA7" w:rsidRPr="00BF7956" w:rsidRDefault="000B0BF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09</w:t>
                  </w:r>
                  <w:r w:rsidRPr="00BF7956">
                    <w:rPr>
                      <w:color w:val="000000"/>
                      <w:sz w:val="20"/>
                      <w:szCs w:val="20"/>
                    </w:rPr>
                    <w:t>5</w:t>
                  </w:r>
                </w:p>
              </w:tc>
              <w:tc>
                <w:tcPr>
                  <w:tcW w:w="3684" w:type="dxa"/>
                </w:tcPr>
                <w:p w14:paraId="318E6F70" w14:textId="77777777" w:rsidR="000B0BF9" w:rsidRPr="00BF7956" w:rsidRDefault="000B0BF9"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1.2.1.1.1 Active de nivel 1 aferente băncilor centrale </w:t>
                  </w:r>
                </w:p>
                <w:p w14:paraId="34119AB2" w14:textId="1837D90C" w:rsidR="008E3BA7" w:rsidRPr="00BF7956" w:rsidRDefault="000B0BF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1.2.1.1 care sunt garantate cu active care reprezintă creanţe asupra băncilor centrale sau garantate de acestea.</w:t>
                  </w:r>
                </w:p>
              </w:tc>
            </w:tr>
          </w:tbl>
          <w:p w14:paraId="6B3F85C6"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04A974EF" w14:textId="77777777" w:rsidTr="00CE67CE">
              <w:tc>
                <w:tcPr>
                  <w:tcW w:w="714" w:type="dxa"/>
                </w:tcPr>
                <w:p w14:paraId="4CA4266E" w14:textId="29B06EE9"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0B0BF9" w:rsidRPr="00BF7956">
                    <w:rPr>
                      <w:color w:val="000000"/>
                      <w:sz w:val="20"/>
                      <w:szCs w:val="20"/>
                    </w:rPr>
                    <w:t>095</w:t>
                  </w:r>
                </w:p>
              </w:tc>
              <w:tc>
                <w:tcPr>
                  <w:tcW w:w="3684" w:type="dxa"/>
                </w:tcPr>
                <w:p w14:paraId="679D730D" w14:textId="77777777" w:rsidR="000B0BF9" w:rsidRPr="00BF7956" w:rsidRDefault="000B0BF9" w:rsidP="000B0BF9">
                  <w:pPr>
                    <w:pStyle w:val="CM4"/>
                    <w:framePr w:hSpace="180" w:wrap="around" w:vAnchor="text" w:hAnchor="margin" w:y="137"/>
                    <w:spacing w:before="60" w:after="60"/>
                    <w:rPr>
                      <w:b/>
                      <w:bCs/>
                      <w:color w:val="000000"/>
                      <w:sz w:val="20"/>
                      <w:szCs w:val="20"/>
                    </w:rPr>
                  </w:pPr>
                  <w:r w:rsidRPr="00BF7956">
                    <w:rPr>
                      <w:b/>
                      <w:bCs/>
                      <w:color w:val="000000"/>
                      <w:sz w:val="20"/>
                      <w:szCs w:val="20"/>
                    </w:rPr>
                    <w:t>1.2.1.1.1 Active de nivel 1 aferente băncilor centrale</w:t>
                  </w:r>
                </w:p>
                <w:p w14:paraId="50631856" w14:textId="513885E4" w:rsidR="008E3BA7" w:rsidRPr="00BF7956" w:rsidRDefault="000B0BF9" w:rsidP="000B0BF9">
                  <w:pPr>
                    <w:pStyle w:val="CM4"/>
                    <w:framePr w:hSpace="180" w:wrap="around" w:vAnchor="text" w:hAnchor="margin" w:y="137"/>
                    <w:spacing w:before="60" w:after="60"/>
                    <w:rPr>
                      <w:i/>
                      <w:iCs/>
                      <w:color w:val="000000"/>
                      <w:sz w:val="20"/>
                      <w:szCs w:val="20"/>
                      <w:lang w:val="ro-RO"/>
                    </w:rPr>
                  </w:pPr>
                  <w:r w:rsidRPr="00BF7956">
                    <w:rPr>
                      <w:color w:val="000000"/>
                      <w:sz w:val="20"/>
                      <w:szCs w:val="20"/>
                    </w:rPr>
                    <w:t xml:space="preserve">Cuantumul ieșirilor de numerar raportate la punctul 1.2.1.1 garantate cu active care reprezintă creanțe </w:t>
                  </w:r>
                  <w:r w:rsidR="00BB5D62">
                    <w:rPr>
                      <w:color w:val="000000"/>
                      <w:sz w:val="20"/>
                      <w:szCs w:val="20"/>
                    </w:rPr>
                    <w:t>față de băn</w:t>
                  </w:r>
                  <w:r w:rsidRPr="00BF7956">
                    <w:rPr>
                      <w:color w:val="000000"/>
                      <w:sz w:val="20"/>
                      <w:szCs w:val="20"/>
                    </w:rPr>
                    <w:t>cil</w:t>
                  </w:r>
                  <w:r w:rsidR="00BB5D62">
                    <w:rPr>
                      <w:color w:val="000000"/>
                      <w:sz w:val="20"/>
                      <w:szCs w:val="20"/>
                    </w:rPr>
                    <w:t>e</w:t>
                  </w:r>
                  <w:r w:rsidRPr="00BF7956">
                    <w:rPr>
                      <w:color w:val="000000"/>
                      <w:sz w:val="20"/>
                      <w:szCs w:val="20"/>
                    </w:rPr>
                    <w:t xml:space="preserve"> centrale sau garantate de acestea.</w:t>
                  </w:r>
                </w:p>
              </w:tc>
            </w:tr>
          </w:tbl>
          <w:p w14:paraId="7EFBE4B4"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081BD43" w14:textId="6E44236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C466E2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4FCE4ED" w14:textId="77777777" w:rsidR="008E3BA7" w:rsidRPr="00BF7956" w:rsidRDefault="008E3BA7" w:rsidP="008E3BA7">
            <w:pPr>
              <w:jc w:val="both"/>
              <w:rPr>
                <w:sz w:val="20"/>
                <w:szCs w:val="20"/>
                <w:lang w:val="ro-RO"/>
              </w:rPr>
            </w:pPr>
          </w:p>
        </w:tc>
        <w:tc>
          <w:tcPr>
            <w:tcW w:w="992" w:type="dxa"/>
          </w:tcPr>
          <w:p w14:paraId="14E71D42" w14:textId="77777777" w:rsidR="008E3BA7" w:rsidRPr="00BF7956" w:rsidRDefault="008E3BA7" w:rsidP="008E3BA7">
            <w:pPr>
              <w:jc w:val="both"/>
              <w:rPr>
                <w:sz w:val="20"/>
                <w:szCs w:val="20"/>
                <w:lang w:val="ro-RO"/>
              </w:rPr>
            </w:pPr>
          </w:p>
        </w:tc>
      </w:tr>
      <w:tr w:rsidR="008E3BA7" w:rsidRPr="00BF7956" w14:paraId="7C067FDB" w14:textId="77777777" w:rsidTr="00C25F84">
        <w:tc>
          <w:tcPr>
            <w:tcW w:w="4576" w:type="dxa"/>
          </w:tcPr>
          <w:tbl>
            <w:tblPr>
              <w:tblStyle w:val="TableGrid"/>
              <w:tblW w:w="4395" w:type="dxa"/>
              <w:tblLayout w:type="fixed"/>
              <w:tblLook w:val="04A0" w:firstRow="1" w:lastRow="0" w:firstColumn="1" w:lastColumn="0" w:noHBand="0" w:noVBand="1"/>
            </w:tblPr>
            <w:tblGrid>
              <w:gridCol w:w="714"/>
              <w:gridCol w:w="3681"/>
            </w:tblGrid>
            <w:tr w:rsidR="008E3BA7" w:rsidRPr="002C43F1" w14:paraId="3E38E0BB" w14:textId="77777777" w:rsidTr="00A8467C">
              <w:tc>
                <w:tcPr>
                  <w:tcW w:w="714" w:type="dxa"/>
                </w:tcPr>
                <w:p w14:paraId="2DB0A92E" w14:textId="02DAA729"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10</w:t>
                  </w:r>
                  <w:r w:rsidRPr="00BF7956">
                    <w:rPr>
                      <w:color w:val="000000"/>
                      <w:sz w:val="20"/>
                      <w:szCs w:val="20"/>
                    </w:rPr>
                    <w:t>5</w:t>
                  </w:r>
                </w:p>
              </w:tc>
              <w:tc>
                <w:tcPr>
                  <w:tcW w:w="3681" w:type="dxa"/>
                </w:tcPr>
                <w:p w14:paraId="6D5703C7" w14:textId="11C58FE5"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1.2.1.1.2 Active de nivel 1 (CQS 1)</w:t>
                  </w:r>
                  <w:r w:rsidRPr="00BF7956">
                    <w:rPr>
                      <w:color w:val="000000"/>
                      <w:sz w:val="20"/>
                      <w:szCs w:val="20"/>
                    </w:rPr>
                    <w:t xml:space="preserve"> Cuantumul ieșirilor de numerar raportate la punctul 1.2.1.1, altele decât cele </w:t>
                  </w:r>
                  <w:r w:rsidRPr="00BF7956">
                    <w:rPr>
                      <w:color w:val="000000"/>
                      <w:sz w:val="20"/>
                      <w:szCs w:val="20"/>
                    </w:rPr>
                    <w:lastRenderedPageBreak/>
                    <w:t>raportate la punctul 1.2.1.1.1, care sunt garantate cu active care reprezintă creanţe asupra unor emitenţi sau garanţi cărora li se atribuie nivelul 1 de calitate a creditului de către o ECAI desemnată sau creanţe care sunt garantate de aceștia.</w:t>
                  </w:r>
                </w:p>
              </w:tc>
            </w:tr>
          </w:tbl>
          <w:p w14:paraId="0F2E5337"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5" w:type="dxa"/>
              <w:tblLayout w:type="fixed"/>
              <w:tblLook w:val="04A0" w:firstRow="1" w:lastRow="0" w:firstColumn="1" w:lastColumn="0" w:noHBand="0" w:noVBand="1"/>
            </w:tblPr>
            <w:tblGrid>
              <w:gridCol w:w="714"/>
              <w:gridCol w:w="3681"/>
            </w:tblGrid>
            <w:tr w:rsidR="008E3BA7" w:rsidRPr="002C43F1" w14:paraId="0BBB4B6C" w14:textId="77777777" w:rsidTr="00CE67CE">
              <w:tc>
                <w:tcPr>
                  <w:tcW w:w="714" w:type="dxa"/>
                </w:tcPr>
                <w:p w14:paraId="578E6DB1" w14:textId="43F73CB9"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0105</w:t>
                  </w:r>
                </w:p>
              </w:tc>
              <w:tc>
                <w:tcPr>
                  <w:tcW w:w="3681" w:type="dxa"/>
                </w:tcPr>
                <w:p w14:paraId="08152C00" w14:textId="77777777" w:rsidR="00AA4341" w:rsidRPr="00BF7956" w:rsidRDefault="00AA4341" w:rsidP="00AA4341">
                  <w:pPr>
                    <w:pStyle w:val="CM4"/>
                    <w:framePr w:hSpace="180" w:wrap="around" w:vAnchor="text" w:hAnchor="margin" w:y="137"/>
                    <w:spacing w:before="60" w:after="60"/>
                    <w:rPr>
                      <w:b/>
                      <w:bCs/>
                      <w:color w:val="000000"/>
                      <w:sz w:val="20"/>
                      <w:szCs w:val="20"/>
                    </w:rPr>
                  </w:pPr>
                  <w:r w:rsidRPr="00BF7956">
                    <w:rPr>
                      <w:b/>
                      <w:bCs/>
                      <w:color w:val="000000"/>
                      <w:sz w:val="20"/>
                      <w:szCs w:val="20"/>
                    </w:rPr>
                    <w:t>1.2.1.1.2 Active de nivel 1 (CQS 1)</w:t>
                  </w:r>
                </w:p>
                <w:p w14:paraId="0E130BE0" w14:textId="0B622E23" w:rsidR="008E3BA7" w:rsidRPr="00BF7956" w:rsidRDefault="00AA4341" w:rsidP="00AA4341">
                  <w:pPr>
                    <w:pStyle w:val="CM4"/>
                    <w:framePr w:hSpace="180" w:wrap="around" w:vAnchor="text" w:hAnchor="margin" w:y="137"/>
                    <w:spacing w:before="60" w:after="60"/>
                    <w:rPr>
                      <w:i/>
                      <w:iCs/>
                      <w:color w:val="000000"/>
                      <w:sz w:val="20"/>
                      <w:szCs w:val="20"/>
                      <w:lang w:val="ro-RO"/>
                    </w:rPr>
                  </w:pPr>
                  <w:r w:rsidRPr="00BF7956">
                    <w:rPr>
                      <w:color w:val="000000"/>
                      <w:sz w:val="20"/>
                      <w:szCs w:val="20"/>
                    </w:rPr>
                    <w:t xml:space="preserve">Cuantumul ieșirilor de numerar raportate la punctul 1.2.1.1, altele decât cele </w:t>
                  </w:r>
                  <w:r w:rsidRPr="00BF7956">
                    <w:rPr>
                      <w:color w:val="000000"/>
                      <w:sz w:val="20"/>
                      <w:szCs w:val="20"/>
                    </w:rPr>
                    <w:lastRenderedPageBreak/>
                    <w:t xml:space="preserve">raportate la punctul 1.2.1.1.1, garantate cu active care reprezintă creanțe </w:t>
                  </w:r>
                  <w:r w:rsidR="00BB5D62">
                    <w:rPr>
                      <w:color w:val="000000"/>
                      <w:sz w:val="20"/>
                      <w:szCs w:val="20"/>
                    </w:rPr>
                    <w:t xml:space="preserve"> față de </w:t>
                  </w:r>
                  <w:r w:rsidRPr="00BF7956">
                    <w:rPr>
                      <w:color w:val="000000"/>
                      <w:sz w:val="20"/>
                      <w:szCs w:val="20"/>
                    </w:rPr>
                    <w:t>un</w:t>
                  </w:r>
                  <w:r w:rsidR="00BB5D62">
                    <w:rPr>
                      <w:color w:val="000000"/>
                      <w:sz w:val="20"/>
                      <w:szCs w:val="20"/>
                    </w:rPr>
                    <w:t>ii</w:t>
                  </w:r>
                  <w:r w:rsidRPr="00BF7956">
                    <w:rPr>
                      <w:color w:val="000000"/>
                      <w:sz w:val="20"/>
                      <w:szCs w:val="20"/>
                    </w:rPr>
                    <w:t xml:space="preserve"> emitenți sau garanți cărora li se atribuie nivelul 1 de calitate a creditului de către o ECAI desemnată sau creanțe garantate de aceștia.</w:t>
                  </w:r>
                </w:p>
              </w:tc>
            </w:tr>
          </w:tbl>
          <w:p w14:paraId="7F3B0E6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7A4E382" w14:textId="6CF38267" w:rsidR="008E3BA7" w:rsidRPr="00BF7956" w:rsidRDefault="008E3BA7" w:rsidP="008E3BA7">
            <w:pPr>
              <w:rPr>
                <w:b/>
                <w:strike/>
                <w:sz w:val="20"/>
                <w:szCs w:val="20"/>
                <w:lang w:val="ro-RO"/>
              </w:rPr>
            </w:pPr>
            <w:r w:rsidRPr="00BF7956">
              <w:rPr>
                <w:bCs/>
                <w:sz w:val="20"/>
                <w:szCs w:val="20"/>
                <w:lang w:val="ro-RO"/>
              </w:rPr>
              <w:lastRenderedPageBreak/>
              <w:t>Compatibil</w:t>
            </w:r>
          </w:p>
        </w:tc>
        <w:tc>
          <w:tcPr>
            <w:tcW w:w="2223" w:type="dxa"/>
          </w:tcPr>
          <w:p w14:paraId="2BB8B46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7ED22B6" w14:textId="77777777" w:rsidR="008E3BA7" w:rsidRPr="00BF7956" w:rsidRDefault="008E3BA7" w:rsidP="008E3BA7">
            <w:pPr>
              <w:jc w:val="both"/>
              <w:rPr>
                <w:sz w:val="20"/>
                <w:szCs w:val="20"/>
                <w:lang w:val="ro-RO"/>
              </w:rPr>
            </w:pPr>
          </w:p>
        </w:tc>
        <w:tc>
          <w:tcPr>
            <w:tcW w:w="992" w:type="dxa"/>
          </w:tcPr>
          <w:p w14:paraId="0F599DC6" w14:textId="77777777" w:rsidR="008E3BA7" w:rsidRPr="00BF7956" w:rsidRDefault="008E3BA7" w:rsidP="008E3BA7">
            <w:pPr>
              <w:jc w:val="both"/>
              <w:rPr>
                <w:sz w:val="20"/>
                <w:szCs w:val="20"/>
                <w:lang w:val="ro-RO"/>
              </w:rPr>
            </w:pPr>
          </w:p>
        </w:tc>
      </w:tr>
      <w:tr w:rsidR="008E3BA7" w:rsidRPr="00BF7956" w14:paraId="27114F55"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460E2F23" w14:textId="77777777" w:rsidTr="00117FAE">
              <w:tc>
                <w:tcPr>
                  <w:tcW w:w="714" w:type="dxa"/>
                </w:tcPr>
                <w:p w14:paraId="27122E17" w14:textId="0FF1472D"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0115</w:t>
                  </w:r>
                </w:p>
              </w:tc>
              <w:tc>
                <w:tcPr>
                  <w:tcW w:w="3684" w:type="dxa"/>
                </w:tcPr>
                <w:p w14:paraId="219905E3" w14:textId="77777777" w:rsidR="00AA4341" w:rsidRPr="00BF7956" w:rsidRDefault="00AA4341"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1.2.1.1.3 Active de nivel 1 (CQS 2, CQS 3) </w:t>
                  </w:r>
                </w:p>
                <w:p w14:paraId="7F7EFF1E" w14:textId="5F8C39FA"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1.2.1.1, altele decât cele raportate la punctul 1.2.1.1.1, care sunt garantate cu active care reprezintă creanţe asupra unor emitenţi sau garanţi cărora li se atribuie nivelul 2 sau 3 de calitate a creditului de către o ECAI desemnată sau creanţe care sunt garantate de aceștia.</w:t>
                  </w:r>
                </w:p>
              </w:tc>
            </w:tr>
          </w:tbl>
          <w:p w14:paraId="6B408E1F"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3482B099" w14:textId="77777777" w:rsidTr="00CE67CE">
              <w:tc>
                <w:tcPr>
                  <w:tcW w:w="714" w:type="dxa"/>
                </w:tcPr>
                <w:p w14:paraId="0A3F93E9" w14:textId="7919A684"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0115</w:t>
                  </w:r>
                </w:p>
              </w:tc>
              <w:tc>
                <w:tcPr>
                  <w:tcW w:w="3684" w:type="dxa"/>
                </w:tcPr>
                <w:p w14:paraId="23DE735F" w14:textId="77777777" w:rsidR="00AA4341" w:rsidRPr="00BF7956" w:rsidRDefault="00AA4341" w:rsidP="00AA4341">
                  <w:pPr>
                    <w:spacing w:before="60" w:after="60" w:line="312" w:lineRule="atLeast"/>
                    <w:jc w:val="both"/>
                    <w:rPr>
                      <w:color w:val="333333"/>
                      <w:sz w:val="20"/>
                      <w:szCs w:val="20"/>
                      <w:lang w:val="en-US" w:eastAsia="ro-MD"/>
                    </w:rPr>
                  </w:pPr>
                  <w:r w:rsidRPr="00BF7956">
                    <w:rPr>
                      <w:b/>
                      <w:bCs/>
                      <w:color w:val="333333"/>
                      <w:sz w:val="20"/>
                      <w:szCs w:val="20"/>
                      <w:lang w:val="en-US" w:eastAsia="ro-MD"/>
                    </w:rPr>
                    <w:t>1.2.1.1.3</w:t>
                  </w:r>
                  <w:r w:rsidRPr="00BF7956">
                    <w:rPr>
                      <w:color w:val="333333"/>
                      <w:sz w:val="20"/>
                      <w:szCs w:val="20"/>
                      <w:lang w:val="en-US" w:eastAsia="ro-MD"/>
                    </w:rPr>
                    <w:t> </w:t>
                  </w:r>
                  <w:r w:rsidRPr="00BF7956">
                    <w:rPr>
                      <w:b/>
                      <w:bCs/>
                      <w:color w:val="333333"/>
                      <w:sz w:val="20"/>
                      <w:szCs w:val="20"/>
                      <w:lang w:val="en-US" w:eastAsia="ro-MD"/>
                    </w:rPr>
                    <w:t>Active de nivel 1 (CQS 2, CQS 3)</w:t>
                  </w:r>
                </w:p>
                <w:p w14:paraId="441A001A" w14:textId="0C12FDA7"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rFonts w:eastAsia="Times New Roman"/>
                      <w:color w:val="333333"/>
                      <w:sz w:val="20"/>
                      <w:szCs w:val="20"/>
                      <w:lang w:eastAsia="ro-MD"/>
                    </w:rPr>
                    <w:t xml:space="preserve">Cuantumul ieșirilor de numerar raportate la punctul 1.2.1.1, altele decât cele raportate la punctul 1.2.1.1.1, garantate cu active care reprezintă creanțe </w:t>
                  </w:r>
                  <w:r w:rsidR="00055BC0">
                    <w:rPr>
                      <w:color w:val="000000"/>
                      <w:sz w:val="20"/>
                      <w:szCs w:val="20"/>
                    </w:rPr>
                    <w:t xml:space="preserve"> față de </w:t>
                  </w:r>
                  <w:r w:rsidRPr="00BF7956">
                    <w:rPr>
                      <w:rFonts w:eastAsia="Times New Roman"/>
                      <w:color w:val="333333"/>
                      <w:sz w:val="20"/>
                      <w:szCs w:val="20"/>
                      <w:lang w:eastAsia="ro-MD"/>
                    </w:rPr>
                    <w:t>un</w:t>
                  </w:r>
                  <w:r w:rsidR="00055BC0">
                    <w:rPr>
                      <w:rFonts w:eastAsia="Times New Roman"/>
                      <w:color w:val="333333"/>
                      <w:sz w:val="20"/>
                      <w:szCs w:val="20"/>
                      <w:lang w:eastAsia="ro-MD"/>
                    </w:rPr>
                    <w:t>ii</w:t>
                  </w:r>
                  <w:r w:rsidRPr="00BF7956">
                    <w:rPr>
                      <w:rFonts w:eastAsia="Times New Roman"/>
                      <w:color w:val="333333"/>
                      <w:sz w:val="20"/>
                      <w:szCs w:val="20"/>
                      <w:lang w:eastAsia="ro-MD"/>
                    </w:rPr>
                    <w:t xml:space="preserve"> emitenți sau garanți cărora li se atribuie nivelul 2 sau 3 de calitate a creditului de către o ECAI desemnată sau creanțe garantate de aceștia.</w:t>
                  </w:r>
                </w:p>
              </w:tc>
            </w:tr>
          </w:tbl>
          <w:p w14:paraId="2699320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E20E645" w14:textId="6287645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F2ED9F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36C4D44" w14:textId="77777777" w:rsidR="008E3BA7" w:rsidRPr="00BF7956" w:rsidRDefault="008E3BA7" w:rsidP="008E3BA7">
            <w:pPr>
              <w:jc w:val="both"/>
              <w:rPr>
                <w:sz w:val="20"/>
                <w:szCs w:val="20"/>
                <w:lang w:val="ro-RO"/>
              </w:rPr>
            </w:pPr>
          </w:p>
        </w:tc>
        <w:tc>
          <w:tcPr>
            <w:tcW w:w="992" w:type="dxa"/>
          </w:tcPr>
          <w:p w14:paraId="5CDD0B8F" w14:textId="77777777" w:rsidR="008E3BA7" w:rsidRPr="00BF7956" w:rsidRDefault="008E3BA7" w:rsidP="008E3BA7">
            <w:pPr>
              <w:jc w:val="both"/>
              <w:rPr>
                <w:sz w:val="20"/>
                <w:szCs w:val="20"/>
                <w:lang w:val="ro-RO"/>
              </w:rPr>
            </w:pPr>
          </w:p>
        </w:tc>
      </w:tr>
      <w:tr w:rsidR="008E3BA7" w:rsidRPr="00BF7956" w14:paraId="2B689255"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3EAB2348" w14:textId="77777777" w:rsidTr="00117FAE">
              <w:tc>
                <w:tcPr>
                  <w:tcW w:w="714" w:type="dxa"/>
                </w:tcPr>
                <w:p w14:paraId="29333AB1" w14:textId="4D966D6E"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0125</w:t>
                  </w:r>
                </w:p>
              </w:tc>
              <w:tc>
                <w:tcPr>
                  <w:tcW w:w="3684" w:type="dxa"/>
                </w:tcPr>
                <w:p w14:paraId="2D5F5E23" w14:textId="31CD8F3C"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1.2.1.1.4</w:t>
                  </w:r>
                  <w:r w:rsidRPr="00BF7956">
                    <w:rPr>
                      <w:color w:val="000000"/>
                      <w:sz w:val="20"/>
                      <w:szCs w:val="20"/>
                    </w:rPr>
                    <w:t xml:space="preserve"> </w:t>
                  </w:r>
                  <w:r w:rsidRPr="00BF7956">
                    <w:rPr>
                      <w:b/>
                      <w:bCs/>
                      <w:color w:val="000000"/>
                      <w:sz w:val="20"/>
                      <w:szCs w:val="20"/>
                    </w:rPr>
                    <w:t xml:space="preserve">Active de nivel 1 (CQS 4+) </w:t>
                  </w:r>
                  <w:r w:rsidR="00AA4341" w:rsidRPr="00BF7956">
                    <w:rPr>
                      <w:sz w:val="20"/>
                      <w:szCs w:val="20"/>
                    </w:rPr>
                    <w:t xml:space="preserve"> </w:t>
                  </w:r>
                  <w:r w:rsidR="00AA4341" w:rsidRPr="00BF7956">
                    <w:rPr>
                      <w:color w:val="000000"/>
                      <w:sz w:val="20"/>
                      <w:szCs w:val="20"/>
                    </w:rPr>
                    <w:t>Cuantumul ieșirilor de numerar raportate la punctul 1.2.1.1, altele decât cele raportate la punctul 1.2.1.1.1, care sunt garantate cu active care reprezintă creanţe asupra unor emitenţi sau garanţi cărora li se atribuie un nivel de calitate a creditului mai mare sau egal cu 4 de către o ECAI desemnată sau creanţe care sunt garantate de aceștia.</w:t>
                  </w:r>
                </w:p>
              </w:tc>
            </w:tr>
          </w:tbl>
          <w:p w14:paraId="69247A5E"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40E1B9A5" w14:textId="77777777" w:rsidTr="00CE67CE">
              <w:tc>
                <w:tcPr>
                  <w:tcW w:w="714" w:type="dxa"/>
                </w:tcPr>
                <w:p w14:paraId="6F2BD01A" w14:textId="04867704"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0125</w:t>
                  </w:r>
                </w:p>
              </w:tc>
              <w:tc>
                <w:tcPr>
                  <w:tcW w:w="3684" w:type="dxa"/>
                </w:tcPr>
                <w:p w14:paraId="7EDB5F3E" w14:textId="6E48F94E"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1.2.1.1.4</w:t>
                  </w:r>
                  <w:r w:rsidRPr="00BF7956">
                    <w:rPr>
                      <w:color w:val="000000"/>
                      <w:sz w:val="20"/>
                      <w:szCs w:val="20"/>
                    </w:rPr>
                    <w:t xml:space="preserve"> </w:t>
                  </w:r>
                  <w:r w:rsidRPr="00BF7956">
                    <w:rPr>
                      <w:b/>
                      <w:bCs/>
                      <w:color w:val="000000"/>
                      <w:sz w:val="20"/>
                      <w:szCs w:val="20"/>
                    </w:rPr>
                    <w:t xml:space="preserve">Active de nivel 1 (CQS 4+) </w:t>
                  </w:r>
                  <w:r w:rsidR="00AA4341" w:rsidRPr="00BF7956">
                    <w:rPr>
                      <w:sz w:val="20"/>
                      <w:szCs w:val="20"/>
                    </w:rPr>
                    <w:t xml:space="preserve"> </w:t>
                  </w:r>
                  <w:r w:rsidR="00AA4341" w:rsidRPr="00BF7956">
                    <w:rPr>
                      <w:color w:val="000000"/>
                      <w:sz w:val="20"/>
                      <w:szCs w:val="20"/>
                    </w:rPr>
                    <w:t>Cuantumul ieșirilor de numerar raportate la punctul 1.2.1.1, altele decât cele raportate la punctul 1.2.1.1.1</w:t>
                  </w:r>
                  <w:r w:rsidR="00055BC0">
                    <w:rPr>
                      <w:color w:val="000000"/>
                      <w:sz w:val="20"/>
                      <w:szCs w:val="20"/>
                    </w:rPr>
                    <w:t>,</w:t>
                  </w:r>
                  <w:r w:rsidR="00AA4341" w:rsidRPr="00BF7956">
                    <w:rPr>
                      <w:color w:val="000000"/>
                      <w:sz w:val="20"/>
                      <w:szCs w:val="20"/>
                    </w:rPr>
                    <w:t xml:space="preserve"> garantate cu active care reprezintă creanțe </w:t>
                  </w:r>
                  <w:r w:rsidR="00055BC0">
                    <w:t xml:space="preserve"> </w:t>
                  </w:r>
                  <w:r w:rsidR="00055BC0" w:rsidRPr="00055BC0">
                    <w:rPr>
                      <w:color w:val="000000"/>
                      <w:sz w:val="20"/>
                      <w:szCs w:val="20"/>
                    </w:rPr>
                    <w:t xml:space="preserve">față de </w:t>
                  </w:r>
                  <w:r w:rsidR="00AA4341" w:rsidRPr="00BF7956">
                    <w:rPr>
                      <w:color w:val="000000"/>
                      <w:sz w:val="20"/>
                      <w:szCs w:val="20"/>
                    </w:rPr>
                    <w:t>un</w:t>
                  </w:r>
                  <w:r w:rsidR="00055BC0">
                    <w:rPr>
                      <w:color w:val="000000"/>
                      <w:sz w:val="20"/>
                      <w:szCs w:val="20"/>
                    </w:rPr>
                    <w:t>ii</w:t>
                  </w:r>
                  <w:r w:rsidR="00AA4341" w:rsidRPr="00BF7956">
                    <w:rPr>
                      <w:color w:val="000000"/>
                      <w:sz w:val="20"/>
                      <w:szCs w:val="20"/>
                    </w:rPr>
                    <w:t xml:space="preserve"> emitenți sau garanți cărora li se atribuie un nivel de calitate a creditului mai mare sau egal cu 4 de către o ECAI desemnată sau creanțe garantate de aceștia.</w:t>
                  </w:r>
                </w:p>
              </w:tc>
            </w:tr>
          </w:tbl>
          <w:p w14:paraId="3777650E"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A6C9C0E" w14:textId="7F21071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3ABBA5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E18CC82" w14:textId="77777777" w:rsidR="008E3BA7" w:rsidRPr="00BF7956" w:rsidRDefault="008E3BA7" w:rsidP="008E3BA7">
            <w:pPr>
              <w:jc w:val="both"/>
              <w:rPr>
                <w:sz w:val="20"/>
                <w:szCs w:val="20"/>
                <w:lang w:val="ro-RO"/>
              </w:rPr>
            </w:pPr>
          </w:p>
        </w:tc>
        <w:tc>
          <w:tcPr>
            <w:tcW w:w="992" w:type="dxa"/>
          </w:tcPr>
          <w:p w14:paraId="786A91CE" w14:textId="77777777" w:rsidR="008E3BA7" w:rsidRPr="00BF7956" w:rsidRDefault="008E3BA7" w:rsidP="008E3BA7">
            <w:pPr>
              <w:jc w:val="both"/>
              <w:rPr>
                <w:sz w:val="20"/>
                <w:szCs w:val="20"/>
                <w:lang w:val="ro-RO"/>
              </w:rPr>
            </w:pPr>
          </w:p>
        </w:tc>
      </w:tr>
      <w:tr w:rsidR="008E3BA7" w:rsidRPr="002C43F1" w14:paraId="529008A6" w14:textId="77777777" w:rsidTr="00C25F84">
        <w:tc>
          <w:tcPr>
            <w:tcW w:w="4576" w:type="dxa"/>
          </w:tcPr>
          <w:tbl>
            <w:tblPr>
              <w:tblStyle w:val="TableGrid"/>
              <w:tblW w:w="4398" w:type="dxa"/>
              <w:tblLayout w:type="fixed"/>
              <w:tblLook w:val="04A0" w:firstRow="1" w:lastRow="0" w:firstColumn="1" w:lastColumn="0" w:noHBand="0" w:noVBand="1"/>
            </w:tblPr>
            <w:tblGrid>
              <w:gridCol w:w="708"/>
              <w:gridCol w:w="3690"/>
            </w:tblGrid>
            <w:tr w:rsidR="008E3BA7" w:rsidRPr="002C43F1" w14:paraId="2EAFA71F" w14:textId="77777777" w:rsidTr="004D5C27">
              <w:tc>
                <w:tcPr>
                  <w:tcW w:w="708" w:type="dxa"/>
                </w:tcPr>
                <w:p w14:paraId="7AA8B53F" w14:textId="5B3D5AC0"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0135</w:t>
                  </w:r>
                </w:p>
              </w:tc>
              <w:tc>
                <w:tcPr>
                  <w:tcW w:w="3690" w:type="dxa"/>
                </w:tcPr>
                <w:p w14:paraId="51DD1FF3" w14:textId="77777777" w:rsidR="00AA4341" w:rsidRPr="00BF7956" w:rsidRDefault="00AA4341"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1.2.1.2 Obligaţiuni garantate de nivel 1 (CQS 1) </w:t>
                  </w:r>
                </w:p>
                <w:p w14:paraId="353E3623" w14:textId="1B6A2368"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 xml:space="preserve">Cuantumul ieșirilor de numerar raportate la punctul 1.2.1 care sunt garantate cu active care nu obligaţiuni garantate. A se reţine faptul că, în conformitate cu articolul 10 alineatul (1) litera (f) din Regulamentul delegat (UE) 2015/61, numai obligaţiunile garantate cu nivelul 1 de calitate a </w:t>
                  </w:r>
                  <w:r w:rsidRPr="00BF7956">
                    <w:rPr>
                      <w:color w:val="000000"/>
                      <w:sz w:val="20"/>
                      <w:szCs w:val="20"/>
                    </w:rPr>
                    <w:lastRenderedPageBreak/>
                    <w:t>creditului (CQS 1) sunt eligibile ca active de nivel 1.</w:t>
                  </w:r>
                </w:p>
              </w:tc>
            </w:tr>
          </w:tbl>
          <w:p w14:paraId="4B0848DA"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08"/>
              <w:gridCol w:w="3690"/>
            </w:tblGrid>
            <w:tr w:rsidR="008E3BA7" w:rsidRPr="002C43F1" w14:paraId="40CD1859" w14:textId="77777777" w:rsidTr="00CE67CE">
              <w:tc>
                <w:tcPr>
                  <w:tcW w:w="708" w:type="dxa"/>
                </w:tcPr>
                <w:p w14:paraId="3F1E6A0E" w14:textId="51D673DA" w:rsidR="008E3BA7" w:rsidRPr="00BF7956" w:rsidRDefault="00AA434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0135</w:t>
                  </w:r>
                </w:p>
              </w:tc>
              <w:tc>
                <w:tcPr>
                  <w:tcW w:w="3690" w:type="dxa"/>
                </w:tcPr>
                <w:p w14:paraId="0CD775C1" w14:textId="518C3D34"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1.2.1.2</w:t>
                  </w:r>
                  <w:r w:rsidRPr="00BF7956">
                    <w:rPr>
                      <w:color w:val="000000"/>
                      <w:sz w:val="20"/>
                      <w:szCs w:val="20"/>
                    </w:rPr>
                    <w:t xml:space="preserve"> </w:t>
                  </w:r>
                  <w:r w:rsidRPr="00BF7956">
                    <w:rPr>
                      <w:b/>
                      <w:bCs/>
                      <w:color w:val="000000"/>
                      <w:sz w:val="20"/>
                      <w:szCs w:val="20"/>
                    </w:rPr>
                    <w:t>Obligaţiuni garantate de nivel 1 (CQS 1)</w:t>
                  </w:r>
                </w:p>
              </w:tc>
            </w:tr>
          </w:tbl>
          <w:p w14:paraId="17DFBFEB"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7DD26359" w14:textId="06E5654C"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0B3A4A64" w14:textId="0B9051FA" w:rsidR="008E3BA7" w:rsidRPr="00BF7956" w:rsidRDefault="008E3BA7" w:rsidP="008E3BA7">
            <w:pPr>
              <w:rPr>
                <w:sz w:val="20"/>
                <w:szCs w:val="20"/>
                <w:lang w:val="ro-RO"/>
              </w:rPr>
            </w:pPr>
            <w:r w:rsidRPr="00BF7956">
              <w:rPr>
                <w:rFonts w:eastAsia="Calibri"/>
                <w:sz w:val="20"/>
                <w:szCs w:val="20"/>
                <w:lang w:val="ro-RO" w:eastAsia="en-US"/>
              </w:rPr>
              <w:t xml:space="preserve">Prevederile aferente obligațiunilor garantate nu au fost transpuse, deoarece obligațiunile garantate, în prezent la nivelul Republicii Moldova nu sunt reglementate de cadrul primar aferent desfășurării acestor operațiuni, elaborarea </w:t>
            </w:r>
            <w:r w:rsidRPr="00BF7956">
              <w:rPr>
                <w:rFonts w:eastAsia="Calibri"/>
                <w:sz w:val="20"/>
                <w:szCs w:val="20"/>
                <w:lang w:val="ro-RO" w:eastAsia="en-US"/>
              </w:rPr>
              <w:lastRenderedPageBreak/>
              <w:t>căruia este de competența CNPF.</w:t>
            </w:r>
          </w:p>
        </w:tc>
        <w:tc>
          <w:tcPr>
            <w:tcW w:w="1134" w:type="dxa"/>
            <w:tcBorders>
              <w:top w:val="single" w:sz="4" w:space="0" w:color="auto"/>
              <w:bottom w:val="single" w:sz="4" w:space="0" w:color="auto"/>
            </w:tcBorders>
          </w:tcPr>
          <w:p w14:paraId="564497F2" w14:textId="77777777" w:rsidR="008E3BA7" w:rsidRPr="00BF7956" w:rsidRDefault="008E3BA7" w:rsidP="008E3BA7">
            <w:pPr>
              <w:jc w:val="both"/>
              <w:rPr>
                <w:sz w:val="20"/>
                <w:szCs w:val="20"/>
                <w:lang w:val="ro-RO"/>
              </w:rPr>
            </w:pPr>
          </w:p>
        </w:tc>
        <w:tc>
          <w:tcPr>
            <w:tcW w:w="992" w:type="dxa"/>
          </w:tcPr>
          <w:p w14:paraId="208612E8" w14:textId="77777777" w:rsidR="008E3BA7" w:rsidRPr="00BF7956" w:rsidRDefault="008E3BA7" w:rsidP="008E3BA7">
            <w:pPr>
              <w:jc w:val="both"/>
              <w:rPr>
                <w:sz w:val="20"/>
                <w:szCs w:val="20"/>
                <w:lang w:val="ro-RO"/>
              </w:rPr>
            </w:pPr>
          </w:p>
        </w:tc>
      </w:tr>
      <w:tr w:rsidR="008E3BA7" w:rsidRPr="00BF7956" w14:paraId="1FC2F59F" w14:textId="77777777" w:rsidTr="00C25F84">
        <w:tc>
          <w:tcPr>
            <w:tcW w:w="4576" w:type="dxa"/>
          </w:tcPr>
          <w:tbl>
            <w:tblPr>
              <w:tblStyle w:val="TableGrid"/>
              <w:tblW w:w="4401" w:type="dxa"/>
              <w:tblLayout w:type="fixed"/>
              <w:tblLook w:val="04A0" w:firstRow="1" w:lastRow="0" w:firstColumn="1" w:lastColumn="0" w:noHBand="0" w:noVBand="1"/>
            </w:tblPr>
            <w:tblGrid>
              <w:gridCol w:w="714"/>
              <w:gridCol w:w="3687"/>
            </w:tblGrid>
            <w:tr w:rsidR="008E3BA7" w:rsidRPr="002C43F1" w14:paraId="7DDC329A" w14:textId="77777777" w:rsidTr="004D5C27">
              <w:tc>
                <w:tcPr>
                  <w:tcW w:w="714" w:type="dxa"/>
                </w:tcPr>
                <w:p w14:paraId="23AB11E7" w14:textId="1E334043"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14</w:t>
                  </w:r>
                  <w:r w:rsidRPr="00BF7956">
                    <w:rPr>
                      <w:color w:val="000000"/>
                      <w:sz w:val="20"/>
                      <w:szCs w:val="20"/>
                    </w:rPr>
                    <w:t>5</w:t>
                  </w:r>
                </w:p>
              </w:tc>
              <w:tc>
                <w:tcPr>
                  <w:tcW w:w="3687" w:type="dxa"/>
                </w:tcPr>
                <w:p w14:paraId="004F88A0" w14:textId="77777777" w:rsidR="008E3BA7" w:rsidRPr="00BF7956" w:rsidRDefault="008E3BA7" w:rsidP="008E3BA7">
                  <w:pPr>
                    <w:pStyle w:val="CM4"/>
                    <w:framePr w:hSpace="180" w:wrap="around" w:vAnchor="text" w:hAnchor="margin" w:y="137"/>
                    <w:spacing w:before="60" w:after="60"/>
                    <w:rPr>
                      <w:color w:val="000000"/>
                      <w:sz w:val="20"/>
                      <w:szCs w:val="20"/>
                    </w:rPr>
                  </w:pPr>
                  <w:r w:rsidRPr="00BF7956">
                    <w:rPr>
                      <w:b/>
                      <w:bCs/>
                      <w:color w:val="000000"/>
                      <w:sz w:val="20"/>
                      <w:szCs w:val="20"/>
                    </w:rPr>
                    <w:t>1.2.2</w:t>
                  </w:r>
                  <w:r w:rsidRPr="00BF7956">
                    <w:rPr>
                      <w:color w:val="000000"/>
                      <w:sz w:val="20"/>
                      <w:szCs w:val="20"/>
                    </w:rPr>
                    <w:t xml:space="preserve"> </w:t>
                  </w:r>
                  <w:r w:rsidRPr="00BF7956">
                    <w:rPr>
                      <w:b/>
                      <w:bCs/>
                      <w:color w:val="000000"/>
                      <w:sz w:val="20"/>
                      <w:szCs w:val="20"/>
                    </w:rPr>
                    <w:t xml:space="preserve">Active tranzacţionabile de nivel 2A </w:t>
                  </w:r>
                </w:p>
                <w:p w14:paraId="74DA82E3" w14:textId="59F8F3A5" w:rsidR="006D29EE" w:rsidRPr="00BF7956" w:rsidRDefault="006D29EE" w:rsidP="006D29EE">
                  <w:pPr>
                    <w:framePr w:hSpace="180" w:wrap="around" w:vAnchor="text" w:hAnchor="margin" w:y="137"/>
                    <w:rPr>
                      <w:sz w:val="20"/>
                      <w:szCs w:val="20"/>
                      <w:lang w:val="ro-MD" w:eastAsia="en-US"/>
                    </w:rPr>
                  </w:pPr>
                  <w:r w:rsidRPr="00BF7956">
                    <w:rPr>
                      <w:sz w:val="20"/>
                      <w:szCs w:val="20"/>
                      <w:lang w:val="ro-MD" w:eastAsia="en-US"/>
                    </w:rPr>
                    <w:t>Cuantumul ieșirilor de numerar raportate la punctul 1.2 care sunt garantate cu active tranzacţionabile care ar îndeplini cerinţele prevăzute la articolele 7, 8 și 11 din Regulamentul delegat (UE) 2015/61 dacă nu ar garanta respectiva tranzacţie. Acţiunile sau unităţile deţinute în OPC-uri în conformitate cu articolul 15 din Regulamentul delegat (UE) 2015/61 care se califică drept active de nivel 2A se raportează în subcategoriile de mai jos corespunzătoare activelor-suport ale acestora.</w:t>
                  </w:r>
                </w:p>
              </w:tc>
            </w:tr>
          </w:tbl>
          <w:p w14:paraId="72273E37"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401" w:type="dxa"/>
              <w:tblLayout w:type="fixed"/>
              <w:tblLook w:val="04A0" w:firstRow="1" w:lastRow="0" w:firstColumn="1" w:lastColumn="0" w:noHBand="0" w:noVBand="1"/>
            </w:tblPr>
            <w:tblGrid>
              <w:gridCol w:w="714"/>
              <w:gridCol w:w="3687"/>
            </w:tblGrid>
            <w:tr w:rsidR="008E3BA7" w:rsidRPr="002C43F1" w14:paraId="7B4C0B64" w14:textId="77777777" w:rsidTr="00CE67CE">
              <w:tc>
                <w:tcPr>
                  <w:tcW w:w="714" w:type="dxa"/>
                </w:tcPr>
                <w:p w14:paraId="62CA710D" w14:textId="7D33DD27" w:rsidR="008E3BA7" w:rsidRPr="00BF7956" w:rsidRDefault="006D29EE" w:rsidP="008E3BA7">
                  <w:pPr>
                    <w:pStyle w:val="CM4"/>
                    <w:framePr w:hSpace="180" w:wrap="around" w:vAnchor="text" w:hAnchor="margin" w:y="137"/>
                    <w:spacing w:after="60"/>
                    <w:rPr>
                      <w:i/>
                      <w:iCs/>
                      <w:color w:val="000000"/>
                      <w:sz w:val="20"/>
                      <w:szCs w:val="20"/>
                      <w:lang w:val="ro-RO"/>
                    </w:rPr>
                  </w:pPr>
                  <w:r w:rsidRPr="00BF7956">
                    <w:rPr>
                      <w:color w:val="000000"/>
                      <w:sz w:val="20"/>
                      <w:szCs w:val="20"/>
                    </w:rPr>
                    <w:t>0145</w:t>
                  </w:r>
                </w:p>
              </w:tc>
              <w:tc>
                <w:tcPr>
                  <w:tcW w:w="3687" w:type="dxa"/>
                </w:tcPr>
                <w:p w14:paraId="4946029F" w14:textId="6D9D9D27" w:rsidR="006D29EE" w:rsidRPr="00BF7956" w:rsidRDefault="008E3BA7" w:rsidP="006D29EE">
                  <w:pPr>
                    <w:pStyle w:val="CM4"/>
                    <w:framePr w:hSpace="180" w:wrap="around" w:vAnchor="text" w:hAnchor="margin" w:y="137"/>
                    <w:rPr>
                      <w:b/>
                      <w:bCs/>
                      <w:color w:val="000000"/>
                      <w:sz w:val="20"/>
                      <w:szCs w:val="20"/>
                    </w:rPr>
                  </w:pPr>
                  <w:r w:rsidRPr="00BF7956">
                    <w:rPr>
                      <w:b/>
                      <w:bCs/>
                      <w:color w:val="000000"/>
                      <w:sz w:val="20"/>
                      <w:szCs w:val="20"/>
                    </w:rPr>
                    <w:t>1.2.2</w:t>
                  </w:r>
                  <w:r w:rsidRPr="00BF7956">
                    <w:rPr>
                      <w:color w:val="000000"/>
                      <w:sz w:val="20"/>
                      <w:szCs w:val="20"/>
                    </w:rPr>
                    <w:t xml:space="preserve"> </w:t>
                  </w:r>
                  <w:r w:rsidRPr="00BF7956">
                    <w:rPr>
                      <w:b/>
                      <w:bCs/>
                      <w:color w:val="000000"/>
                      <w:sz w:val="20"/>
                      <w:szCs w:val="20"/>
                    </w:rPr>
                    <w:t xml:space="preserve">Active tranzacţionabile de nivel 2A </w:t>
                  </w:r>
                </w:p>
                <w:p w14:paraId="244269DA" w14:textId="0B9A34F7" w:rsidR="006D29EE" w:rsidRPr="00BF7956" w:rsidRDefault="006D29EE" w:rsidP="006D29EE">
                  <w:pPr>
                    <w:framePr w:hSpace="180" w:wrap="around" w:vAnchor="text" w:hAnchor="margin" w:y="137"/>
                    <w:rPr>
                      <w:sz w:val="20"/>
                      <w:szCs w:val="20"/>
                      <w:lang w:val="ro-MD" w:eastAsia="en-US"/>
                    </w:rPr>
                  </w:pPr>
                  <w:r w:rsidRPr="00BF7956">
                    <w:rPr>
                      <w:sz w:val="20"/>
                      <w:szCs w:val="20"/>
                      <w:lang w:val="ro-MD" w:eastAsia="en-US"/>
                    </w:rPr>
                    <w:t xml:space="preserve">Cuantumul ieșirilor de numerar raportate la punctul 1.2 garantate cu active tranzacționabile care ar îndeplini cerințele prevăzute la punctele 21-29, 33 și 34 din Regulamentul nr.44/2020 privind cerinţele de acoperire a necesarului de lichiditate pentru bănci, dacă nu ar garanta respectiva tranzacție. </w:t>
                  </w:r>
                </w:p>
                <w:p w14:paraId="0B5FF524" w14:textId="22E38AF1" w:rsidR="008E3BA7" w:rsidRPr="00BF7956" w:rsidRDefault="006D29EE" w:rsidP="006D29EE">
                  <w:pPr>
                    <w:framePr w:hSpace="180" w:wrap="around" w:vAnchor="text" w:hAnchor="margin" w:y="137"/>
                    <w:rPr>
                      <w:sz w:val="20"/>
                      <w:szCs w:val="20"/>
                      <w:lang w:val="ro-MD" w:eastAsia="en-US"/>
                    </w:rPr>
                  </w:pPr>
                  <w:r w:rsidRPr="00BF7956">
                    <w:rPr>
                      <w:sz w:val="20"/>
                      <w:szCs w:val="20"/>
                      <w:lang w:val="ro-MD" w:eastAsia="en-US"/>
                    </w:rPr>
                    <w:t>Acțiunile sau unitățile deținute în OPC-uri în conformitate cu punctele 37-41 din Regulamentul nr.44/2020 privind cerinţele de acoperire a necesarului de lichiditate pentru bănci care se califică drept active de nivel 2A se raportează în subcategoriile de mai jos corespunzătoare activelor-suport ale acestora.</w:t>
                  </w:r>
                </w:p>
              </w:tc>
            </w:tr>
          </w:tbl>
          <w:p w14:paraId="668AB27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1EEAF57" w14:textId="40E42C7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CC98A7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AD142B6" w14:textId="77777777" w:rsidR="008E3BA7" w:rsidRPr="00BF7956" w:rsidRDefault="008E3BA7" w:rsidP="008E3BA7">
            <w:pPr>
              <w:jc w:val="both"/>
              <w:rPr>
                <w:sz w:val="20"/>
                <w:szCs w:val="20"/>
                <w:lang w:val="ro-RO"/>
              </w:rPr>
            </w:pPr>
          </w:p>
        </w:tc>
        <w:tc>
          <w:tcPr>
            <w:tcW w:w="992" w:type="dxa"/>
          </w:tcPr>
          <w:p w14:paraId="18F8E702" w14:textId="77777777" w:rsidR="008E3BA7" w:rsidRPr="00BF7956" w:rsidRDefault="008E3BA7" w:rsidP="008E3BA7">
            <w:pPr>
              <w:jc w:val="both"/>
              <w:rPr>
                <w:sz w:val="20"/>
                <w:szCs w:val="20"/>
                <w:lang w:val="ro-RO"/>
              </w:rPr>
            </w:pPr>
          </w:p>
        </w:tc>
      </w:tr>
      <w:tr w:rsidR="008E3BA7" w:rsidRPr="00BF7956" w14:paraId="22E81DAB" w14:textId="77777777" w:rsidTr="00C25F84">
        <w:tc>
          <w:tcPr>
            <w:tcW w:w="4576" w:type="dxa"/>
          </w:tcPr>
          <w:tbl>
            <w:tblPr>
              <w:tblStyle w:val="TableGrid"/>
              <w:tblW w:w="4418" w:type="dxa"/>
              <w:tblLayout w:type="fixed"/>
              <w:tblLook w:val="04A0" w:firstRow="1" w:lastRow="0" w:firstColumn="1" w:lastColumn="0" w:noHBand="0" w:noVBand="1"/>
            </w:tblPr>
            <w:tblGrid>
              <w:gridCol w:w="733"/>
              <w:gridCol w:w="3685"/>
            </w:tblGrid>
            <w:tr w:rsidR="008E3BA7" w:rsidRPr="002C43F1" w14:paraId="50F24FF2" w14:textId="77777777" w:rsidTr="00E72BD1">
              <w:tc>
                <w:tcPr>
                  <w:tcW w:w="733" w:type="dxa"/>
                </w:tcPr>
                <w:p w14:paraId="038E2CC5" w14:textId="2EE068E0"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15</w:t>
                  </w:r>
                  <w:r w:rsidRPr="00BF7956">
                    <w:rPr>
                      <w:color w:val="000000"/>
                      <w:sz w:val="20"/>
                      <w:szCs w:val="20"/>
                    </w:rPr>
                    <w:t>5</w:t>
                  </w:r>
                </w:p>
              </w:tc>
              <w:tc>
                <w:tcPr>
                  <w:tcW w:w="3685" w:type="dxa"/>
                </w:tcPr>
                <w:p w14:paraId="1C5DD1A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1.2.2.1</w:t>
                  </w:r>
                  <w:r w:rsidRPr="00BF7956">
                    <w:rPr>
                      <w:color w:val="000000"/>
                      <w:sz w:val="20"/>
                      <w:szCs w:val="20"/>
                    </w:rPr>
                    <w:t xml:space="preserve"> </w:t>
                  </w:r>
                  <w:r w:rsidRPr="00BF7956">
                    <w:rPr>
                      <w:b/>
                      <w:bCs/>
                      <w:color w:val="000000"/>
                      <w:sz w:val="20"/>
                      <w:szCs w:val="20"/>
                    </w:rPr>
                    <w:t xml:space="preserve">Obligaţiuni corporative de nivel 2A (CQS 1) </w:t>
                  </w:r>
                </w:p>
                <w:p w14:paraId="0058278F" w14:textId="622AAC6F"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1.2.2 care sunt garantate cu obligaţiuni corporative cărora li se atribuie nivelul 1 de calitate a creditului de către o ECAI desemnată.</w:t>
                  </w:r>
                </w:p>
              </w:tc>
            </w:tr>
          </w:tbl>
          <w:p w14:paraId="4C1CA779"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418" w:type="dxa"/>
              <w:tblLayout w:type="fixed"/>
              <w:tblLook w:val="04A0" w:firstRow="1" w:lastRow="0" w:firstColumn="1" w:lastColumn="0" w:noHBand="0" w:noVBand="1"/>
            </w:tblPr>
            <w:tblGrid>
              <w:gridCol w:w="733"/>
              <w:gridCol w:w="3685"/>
            </w:tblGrid>
            <w:tr w:rsidR="008E3BA7" w:rsidRPr="002C43F1" w14:paraId="2676B395" w14:textId="77777777" w:rsidTr="00CE67CE">
              <w:tc>
                <w:tcPr>
                  <w:tcW w:w="733" w:type="dxa"/>
                </w:tcPr>
                <w:p w14:paraId="0CAEE406" w14:textId="32F3B582"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15</w:t>
                  </w:r>
                  <w:r w:rsidRPr="00BF7956">
                    <w:rPr>
                      <w:color w:val="000000"/>
                      <w:sz w:val="20"/>
                      <w:szCs w:val="20"/>
                    </w:rPr>
                    <w:t>5</w:t>
                  </w:r>
                </w:p>
              </w:tc>
              <w:tc>
                <w:tcPr>
                  <w:tcW w:w="3685" w:type="dxa"/>
                </w:tcPr>
                <w:p w14:paraId="2C6E734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1.2.2.1</w:t>
                  </w:r>
                  <w:r w:rsidRPr="00BF7956">
                    <w:rPr>
                      <w:color w:val="000000"/>
                      <w:sz w:val="20"/>
                      <w:szCs w:val="20"/>
                    </w:rPr>
                    <w:t xml:space="preserve"> </w:t>
                  </w:r>
                  <w:r w:rsidRPr="00BF7956">
                    <w:rPr>
                      <w:b/>
                      <w:bCs/>
                      <w:color w:val="000000"/>
                      <w:sz w:val="20"/>
                      <w:szCs w:val="20"/>
                    </w:rPr>
                    <w:t xml:space="preserve">Obligaţiuni corporative de nivel 2A (CQS 1) </w:t>
                  </w:r>
                </w:p>
                <w:p w14:paraId="24492E01" w14:textId="2B066995"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1.2.2 garantate cu obligațiuni corporative cărora li se atribuie nivelul 1 de calitate a creditului de către o ECAI desemnată.</w:t>
                  </w:r>
                </w:p>
              </w:tc>
            </w:tr>
          </w:tbl>
          <w:p w14:paraId="0251AB5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122809E5" w14:textId="1409559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5105A6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F6810F4" w14:textId="77777777" w:rsidR="008E3BA7" w:rsidRPr="00BF7956" w:rsidRDefault="008E3BA7" w:rsidP="008E3BA7">
            <w:pPr>
              <w:jc w:val="both"/>
              <w:rPr>
                <w:sz w:val="20"/>
                <w:szCs w:val="20"/>
                <w:lang w:val="ro-RO"/>
              </w:rPr>
            </w:pPr>
          </w:p>
        </w:tc>
        <w:tc>
          <w:tcPr>
            <w:tcW w:w="992" w:type="dxa"/>
          </w:tcPr>
          <w:p w14:paraId="565F590D" w14:textId="77777777" w:rsidR="008E3BA7" w:rsidRPr="00BF7956" w:rsidRDefault="008E3BA7" w:rsidP="008E3BA7">
            <w:pPr>
              <w:jc w:val="both"/>
              <w:rPr>
                <w:sz w:val="20"/>
                <w:szCs w:val="20"/>
                <w:lang w:val="ro-RO"/>
              </w:rPr>
            </w:pPr>
          </w:p>
        </w:tc>
      </w:tr>
      <w:tr w:rsidR="008E3BA7" w:rsidRPr="002C43F1" w14:paraId="21DCFF07" w14:textId="77777777" w:rsidTr="00C25F84">
        <w:tc>
          <w:tcPr>
            <w:tcW w:w="4576" w:type="dxa"/>
          </w:tcPr>
          <w:tbl>
            <w:tblPr>
              <w:tblStyle w:val="TableGrid"/>
              <w:tblW w:w="4418" w:type="dxa"/>
              <w:tblLayout w:type="fixed"/>
              <w:tblLook w:val="04A0" w:firstRow="1" w:lastRow="0" w:firstColumn="1" w:lastColumn="0" w:noHBand="0" w:noVBand="1"/>
            </w:tblPr>
            <w:tblGrid>
              <w:gridCol w:w="733"/>
              <w:gridCol w:w="3685"/>
            </w:tblGrid>
            <w:tr w:rsidR="008E3BA7" w:rsidRPr="002C43F1" w14:paraId="5B04BB88" w14:textId="77777777" w:rsidTr="00E72BD1">
              <w:tc>
                <w:tcPr>
                  <w:tcW w:w="733" w:type="dxa"/>
                </w:tcPr>
                <w:p w14:paraId="13AC9CBE" w14:textId="11A292E0"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16</w:t>
                  </w:r>
                  <w:r w:rsidRPr="00BF7956">
                    <w:rPr>
                      <w:color w:val="000000"/>
                      <w:sz w:val="20"/>
                      <w:szCs w:val="20"/>
                    </w:rPr>
                    <w:t>5</w:t>
                  </w:r>
                </w:p>
              </w:tc>
              <w:tc>
                <w:tcPr>
                  <w:tcW w:w="3685" w:type="dxa"/>
                </w:tcPr>
                <w:p w14:paraId="7651302B"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1.2.2.2</w:t>
                  </w:r>
                  <w:r w:rsidRPr="00BF7956">
                    <w:rPr>
                      <w:color w:val="000000"/>
                      <w:sz w:val="20"/>
                      <w:szCs w:val="20"/>
                    </w:rPr>
                    <w:t xml:space="preserve"> </w:t>
                  </w:r>
                  <w:r w:rsidRPr="00BF7956">
                    <w:rPr>
                      <w:b/>
                      <w:bCs/>
                      <w:color w:val="000000"/>
                      <w:sz w:val="20"/>
                      <w:szCs w:val="20"/>
                    </w:rPr>
                    <w:t xml:space="preserve">Obligaţiuni garantate de nivel 2A (CQS 1, CQS 2) </w:t>
                  </w:r>
                </w:p>
                <w:p w14:paraId="6005D68D" w14:textId="496BBD78"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1.2.2 care sunt garantate cu obligaţiuni garantate cărora li se atribuie nivelul 1 sau 2 de calitate a creditului de către o ECAI desemnată.</w:t>
                  </w:r>
                </w:p>
              </w:tc>
            </w:tr>
          </w:tbl>
          <w:p w14:paraId="66BD89CC"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18" w:type="dxa"/>
              <w:tblLayout w:type="fixed"/>
              <w:tblLook w:val="04A0" w:firstRow="1" w:lastRow="0" w:firstColumn="1" w:lastColumn="0" w:noHBand="0" w:noVBand="1"/>
            </w:tblPr>
            <w:tblGrid>
              <w:gridCol w:w="733"/>
              <w:gridCol w:w="3685"/>
            </w:tblGrid>
            <w:tr w:rsidR="008E3BA7" w:rsidRPr="002C43F1" w14:paraId="45012D16" w14:textId="77777777" w:rsidTr="00CE67CE">
              <w:tc>
                <w:tcPr>
                  <w:tcW w:w="733" w:type="dxa"/>
                </w:tcPr>
                <w:p w14:paraId="1C52D58C" w14:textId="4D41D696" w:rsidR="008E3BA7" w:rsidRPr="00BF7956" w:rsidRDefault="006D29E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0165</w:t>
                  </w:r>
                </w:p>
              </w:tc>
              <w:tc>
                <w:tcPr>
                  <w:tcW w:w="3685" w:type="dxa"/>
                </w:tcPr>
                <w:p w14:paraId="7631DB7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1.2.2.2</w:t>
                  </w:r>
                  <w:r w:rsidRPr="00BF7956">
                    <w:rPr>
                      <w:color w:val="000000"/>
                      <w:sz w:val="20"/>
                      <w:szCs w:val="20"/>
                    </w:rPr>
                    <w:t xml:space="preserve"> </w:t>
                  </w:r>
                  <w:r w:rsidRPr="00BF7956">
                    <w:rPr>
                      <w:b/>
                      <w:bCs/>
                      <w:color w:val="000000"/>
                      <w:sz w:val="20"/>
                      <w:szCs w:val="20"/>
                    </w:rPr>
                    <w:t xml:space="preserve">Obligaţiuni garantate de nivel 2A (CQS 1, CQS 2) </w:t>
                  </w:r>
                </w:p>
                <w:p w14:paraId="30D70C57" w14:textId="71D20BCF" w:rsidR="008E3BA7" w:rsidRPr="00BF7956" w:rsidRDefault="008E3BA7" w:rsidP="008E3BA7">
                  <w:pPr>
                    <w:pStyle w:val="CM4"/>
                    <w:framePr w:hSpace="180" w:wrap="around" w:vAnchor="text" w:hAnchor="margin" w:y="137"/>
                    <w:spacing w:before="60" w:after="60"/>
                    <w:rPr>
                      <w:i/>
                      <w:iCs/>
                      <w:color w:val="000000"/>
                      <w:sz w:val="20"/>
                      <w:szCs w:val="20"/>
                      <w:lang w:val="ro-RO"/>
                    </w:rPr>
                  </w:pPr>
                </w:p>
              </w:tc>
            </w:tr>
          </w:tbl>
          <w:p w14:paraId="105C4688"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F0A86B4" w14:textId="2E1C4E02"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11DE832E" w14:textId="553130AD" w:rsidR="008E3BA7" w:rsidRPr="00BF7956" w:rsidRDefault="008E3BA7" w:rsidP="008E3BA7">
            <w:pPr>
              <w:rPr>
                <w:sz w:val="20"/>
                <w:szCs w:val="20"/>
                <w:lang w:val="ro-RO"/>
              </w:rPr>
            </w:pPr>
            <w:r w:rsidRPr="00BF7956">
              <w:rPr>
                <w:rFonts w:eastAsia="Calibri"/>
                <w:sz w:val="20"/>
                <w:szCs w:val="20"/>
                <w:lang w:val="ro-RO" w:eastAsia="en-US"/>
              </w:rPr>
              <w:t xml:space="preserve">Prevederile aferente obligațiunilor garantate nu au fost transpuse, deoarece obligațiunile garantate, în prezent la nivelul Republicii Moldova nu sunt reglementate de cadrul primar aferent desfășurării acestor operațiuni, elaborarea </w:t>
            </w:r>
            <w:r w:rsidRPr="00BF7956">
              <w:rPr>
                <w:rFonts w:eastAsia="Calibri"/>
                <w:sz w:val="20"/>
                <w:szCs w:val="20"/>
                <w:lang w:val="ro-RO" w:eastAsia="en-US"/>
              </w:rPr>
              <w:lastRenderedPageBreak/>
              <w:t>căruia este de competența CNPF.</w:t>
            </w:r>
          </w:p>
        </w:tc>
        <w:tc>
          <w:tcPr>
            <w:tcW w:w="1134" w:type="dxa"/>
            <w:tcBorders>
              <w:top w:val="single" w:sz="4" w:space="0" w:color="auto"/>
              <w:bottom w:val="single" w:sz="4" w:space="0" w:color="auto"/>
            </w:tcBorders>
          </w:tcPr>
          <w:p w14:paraId="205B42BF" w14:textId="77777777" w:rsidR="008E3BA7" w:rsidRPr="00BF7956" w:rsidRDefault="008E3BA7" w:rsidP="008E3BA7">
            <w:pPr>
              <w:jc w:val="both"/>
              <w:rPr>
                <w:sz w:val="20"/>
                <w:szCs w:val="20"/>
                <w:lang w:val="ro-RO"/>
              </w:rPr>
            </w:pPr>
          </w:p>
        </w:tc>
        <w:tc>
          <w:tcPr>
            <w:tcW w:w="992" w:type="dxa"/>
          </w:tcPr>
          <w:p w14:paraId="681C545A" w14:textId="77777777" w:rsidR="008E3BA7" w:rsidRPr="00BF7956" w:rsidRDefault="008E3BA7" w:rsidP="008E3BA7">
            <w:pPr>
              <w:jc w:val="both"/>
              <w:rPr>
                <w:sz w:val="20"/>
                <w:szCs w:val="20"/>
                <w:lang w:val="ro-RO"/>
              </w:rPr>
            </w:pPr>
          </w:p>
        </w:tc>
      </w:tr>
      <w:tr w:rsidR="008E3BA7" w:rsidRPr="00BF7956" w14:paraId="10E09599" w14:textId="77777777" w:rsidTr="00C25F84">
        <w:tc>
          <w:tcPr>
            <w:tcW w:w="4576" w:type="dxa"/>
          </w:tcPr>
          <w:tbl>
            <w:tblPr>
              <w:tblStyle w:val="TableGrid"/>
              <w:tblW w:w="4400" w:type="dxa"/>
              <w:tblLayout w:type="fixed"/>
              <w:tblLook w:val="04A0" w:firstRow="1" w:lastRow="0" w:firstColumn="1" w:lastColumn="0" w:noHBand="0" w:noVBand="1"/>
            </w:tblPr>
            <w:tblGrid>
              <w:gridCol w:w="716"/>
              <w:gridCol w:w="3684"/>
            </w:tblGrid>
            <w:tr w:rsidR="008E3BA7" w:rsidRPr="002C43F1" w14:paraId="02DFAF9C" w14:textId="77777777" w:rsidTr="00E72BD1">
              <w:tc>
                <w:tcPr>
                  <w:tcW w:w="716" w:type="dxa"/>
                </w:tcPr>
                <w:p w14:paraId="5F9B4837" w14:textId="02B20709" w:rsidR="008E3BA7" w:rsidRPr="00BF7956" w:rsidRDefault="00AD4FA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17</w:t>
                  </w:r>
                  <w:r w:rsidRPr="00BF7956">
                    <w:rPr>
                      <w:color w:val="000000"/>
                      <w:sz w:val="20"/>
                      <w:szCs w:val="20"/>
                    </w:rPr>
                    <w:t>5</w:t>
                  </w:r>
                </w:p>
              </w:tc>
              <w:tc>
                <w:tcPr>
                  <w:tcW w:w="3684" w:type="dxa"/>
                </w:tcPr>
                <w:p w14:paraId="632E50D4" w14:textId="1F093117"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 xml:space="preserve">1.2.2.3 Active de nivel 2A aferente sectorului public (CQS 1, CQS 2) </w:t>
                  </w:r>
                  <w:r w:rsidR="00AD4FAB" w:rsidRPr="00BF7956">
                    <w:rPr>
                      <w:sz w:val="20"/>
                      <w:szCs w:val="20"/>
                    </w:rPr>
                    <w:t xml:space="preserve"> </w:t>
                  </w:r>
                  <w:r w:rsidR="00AD4FAB" w:rsidRPr="00BF7956">
                    <w:rPr>
                      <w:color w:val="000000"/>
                      <w:sz w:val="20"/>
                      <w:szCs w:val="20"/>
                    </w:rPr>
                    <w:t>Cuantumul ieșirilor de numerar raportate la punctul 1.2.2 care sunt garantate cu active care reprezintă creanţe asupra administraţiilor centrale, băncilor centrale, autorităţilor regionale, autorităţilor locale sau entităţilor din sectorul public sau creanţe care sunt garantate de acestea. A se reţine faptul că, în conformitate cu articolul 11 alineatul (1) literele (a) și (b) din Regulamentul delegat (UE) 2015/61, toate activele din sectorul public eligibile ca active de nivel 2A trebuie să aibă nivelul 1 sau 2 de calitate a creditului.</w:t>
                  </w:r>
                </w:p>
              </w:tc>
            </w:tr>
          </w:tbl>
          <w:p w14:paraId="0348A9CC"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400" w:type="dxa"/>
              <w:tblLayout w:type="fixed"/>
              <w:tblLook w:val="04A0" w:firstRow="1" w:lastRow="0" w:firstColumn="1" w:lastColumn="0" w:noHBand="0" w:noVBand="1"/>
            </w:tblPr>
            <w:tblGrid>
              <w:gridCol w:w="716"/>
              <w:gridCol w:w="3684"/>
            </w:tblGrid>
            <w:tr w:rsidR="008E3BA7" w:rsidRPr="002C43F1" w14:paraId="6C49908B" w14:textId="77777777" w:rsidTr="00CE67CE">
              <w:tc>
                <w:tcPr>
                  <w:tcW w:w="716" w:type="dxa"/>
                </w:tcPr>
                <w:p w14:paraId="1D1ACB2D" w14:textId="1F2C5A16" w:rsidR="008E3BA7" w:rsidRPr="00BF7956" w:rsidRDefault="00AD4FAB" w:rsidP="008E3BA7">
                  <w:pPr>
                    <w:pStyle w:val="CM4"/>
                    <w:framePr w:hSpace="180" w:wrap="around" w:vAnchor="text" w:hAnchor="margin" w:y="137"/>
                    <w:rPr>
                      <w:i/>
                      <w:iCs/>
                      <w:color w:val="000000"/>
                      <w:sz w:val="20"/>
                      <w:szCs w:val="20"/>
                      <w:lang w:val="ro-RO"/>
                    </w:rPr>
                  </w:pPr>
                  <w:r w:rsidRPr="00BF7956">
                    <w:rPr>
                      <w:color w:val="000000"/>
                      <w:sz w:val="20"/>
                      <w:szCs w:val="20"/>
                    </w:rPr>
                    <w:t>0175</w:t>
                  </w:r>
                </w:p>
              </w:tc>
              <w:tc>
                <w:tcPr>
                  <w:tcW w:w="3684" w:type="dxa"/>
                </w:tcPr>
                <w:p w14:paraId="36DB1FE6" w14:textId="10CD995A" w:rsidR="008E3BA7" w:rsidRPr="00BF7956" w:rsidRDefault="008E3BA7" w:rsidP="008E3BA7">
                  <w:pPr>
                    <w:pStyle w:val="CM4"/>
                    <w:framePr w:hSpace="180" w:wrap="around" w:vAnchor="text" w:hAnchor="margin" w:y="137"/>
                    <w:rPr>
                      <w:b/>
                      <w:bCs/>
                      <w:color w:val="000000"/>
                      <w:sz w:val="20"/>
                      <w:szCs w:val="20"/>
                    </w:rPr>
                  </w:pPr>
                  <w:r w:rsidRPr="00BF7956">
                    <w:rPr>
                      <w:b/>
                      <w:bCs/>
                      <w:color w:val="000000"/>
                      <w:sz w:val="20"/>
                      <w:szCs w:val="20"/>
                    </w:rPr>
                    <w:t>1.2.2.3 Active de nivel 2A aferente sectorului public (CQS 1, CQS 2)</w:t>
                  </w:r>
                </w:p>
                <w:p w14:paraId="7C1C09F0" w14:textId="71D6F5A6" w:rsidR="00AD4FAB" w:rsidRPr="00BF7956" w:rsidRDefault="00AD4FAB" w:rsidP="00AD4FAB">
                  <w:pPr>
                    <w:framePr w:hSpace="180" w:wrap="around" w:vAnchor="text" w:hAnchor="margin" w:y="137"/>
                    <w:jc w:val="both"/>
                    <w:rPr>
                      <w:color w:val="333333"/>
                      <w:sz w:val="20"/>
                      <w:szCs w:val="20"/>
                      <w:lang w:val="ro-MD" w:eastAsia="ro-MD"/>
                    </w:rPr>
                  </w:pPr>
                  <w:r w:rsidRPr="00BF7956">
                    <w:rPr>
                      <w:color w:val="333333"/>
                      <w:sz w:val="20"/>
                      <w:szCs w:val="20"/>
                      <w:lang w:val="ro-MD" w:eastAsia="ro-MD"/>
                    </w:rPr>
                    <w:t xml:space="preserve">Cuantumul ieșirilor de numerar raportate la punctul 1.2.2 garantate cu active care reprezintă creanțe </w:t>
                  </w:r>
                  <w:r w:rsidR="00BB2562" w:rsidRPr="00BB2562">
                    <w:rPr>
                      <w:lang w:val="en-US"/>
                    </w:rPr>
                    <w:t xml:space="preserve"> </w:t>
                  </w:r>
                  <w:r w:rsidR="00BB2562" w:rsidRPr="00BB2562">
                    <w:rPr>
                      <w:color w:val="333333"/>
                      <w:sz w:val="20"/>
                      <w:szCs w:val="20"/>
                      <w:lang w:val="ro-MD" w:eastAsia="ro-MD"/>
                    </w:rPr>
                    <w:t xml:space="preserve">față de </w:t>
                  </w:r>
                  <w:r w:rsidRPr="00BF7956">
                    <w:rPr>
                      <w:color w:val="333333"/>
                      <w:sz w:val="20"/>
                      <w:szCs w:val="20"/>
                      <w:lang w:val="ro-MD" w:eastAsia="ro-MD"/>
                    </w:rPr>
                    <w:t>administrațiil</w:t>
                  </w:r>
                  <w:r w:rsidR="00BB2562">
                    <w:rPr>
                      <w:color w:val="333333"/>
                      <w:sz w:val="20"/>
                      <w:szCs w:val="20"/>
                      <w:lang w:val="ro-MD" w:eastAsia="ro-MD"/>
                    </w:rPr>
                    <w:t>e</w:t>
                  </w:r>
                  <w:r w:rsidRPr="00BF7956">
                    <w:rPr>
                      <w:color w:val="333333"/>
                      <w:sz w:val="20"/>
                      <w:szCs w:val="20"/>
                      <w:lang w:val="ro-MD" w:eastAsia="ro-MD"/>
                    </w:rPr>
                    <w:t xml:space="preserve"> centrale, băncil</w:t>
                  </w:r>
                  <w:r w:rsidR="00BB2562">
                    <w:rPr>
                      <w:color w:val="333333"/>
                      <w:sz w:val="20"/>
                      <w:szCs w:val="20"/>
                      <w:lang w:val="ro-MD" w:eastAsia="ro-MD"/>
                    </w:rPr>
                    <w:t>e</w:t>
                  </w:r>
                  <w:r w:rsidRPr="00BF7956">
                    <w:rPr>
                      <w:color w:val="333333"/>
                      <w:sz w:val="20"/>
                      <w:szCs w:val="20"/>
                      <w:lang w:val="ro-MD" w:eastAsia="ro-MD"/>
                    </w:rPr>
                    <w:t xml:space="preserve"> centrale, autoritățil</w:t>
                  </w:r>
                  <w:r w:rsidR="00BB2562">
                    <w:rPr>
                      <w:color w:val="333333"/>
                      <w:sz w:val="20"/>
                      <w:szCs w:val="20"/>
                      <w:lang w:val="ro-MD" w:eastAsia="ro-MD"/>
                    </w:rPr>
                    <w:t>e</w:t>
                  </w:r>
                  <w:r w:rsidRPr="00BF7956">
                    <w:rPr>
                      <w:color w:val="333333"/>
                      <w:sz w:val="20"/>
                      <w:szCs w:val="20"/>
                      <w:lang w:val="ro-MD" w:eastAsia="ro-MD"/>
                    </w:rPr>
                    <w:t xml:space="preserve"> regionale, autoritățil</w:t>
                  </w:r>
                  <w:r w:rsidR="00BB2562">
                    <w:rPr>
                      <w:color w:val="333333"/>
                      <w:sz w:val="20"/>
                      <w:szCs w:val="20"/>
                      <w:lang w:val="ro-MD" w:eastAsia="ro-MD"/>
                    </w:rPr>
                    <w:t>e</w:t>
                  </w:r>
                  <w:r w:rsidRPr="00BF7956">
                    <w:rPr>
                      <w:color w:val="333333"/>
                      <w:sz w:val="20"/>
                      <w:szCs w:val="20"/>
                      <w:lang w:val="ro-MD" w:eastAsia="ro-MD"/>
                    </w:rPr>
                    <w:t xml:space="preserve"> locale sau entitățil</w:t>
                  </w:r>
                  <w:r w:rsidR="00BB2562">
                    <w:rPr>
                      <w:color w:val="333333"/>
                      <w:sz w:val="20"/>
                      <w:szCs w:val="20"/>
                      <w:lang w:val="ro-MD" w:eastAsia="ro-MD"/>
                    </w:rPr>
                    <w:t>e</w:t>
                  </w:r>
                  <w:r w:rsidRPr="00BF7956">
                    <w:rPr>
                      <w:color w:val="333333"/>
                      <w:sz w:val="20"/>
                      <w:szCs w:val="20"/>
                      <w:lang w:val="ro-MD" w:eastAsia="ro-MD"/>
                    </w:rPr>
                    <w:t xml:space="preserve"> din sectorul public sau creanțe garantate de acestea.</w:t>
                  </w:r>
                </w:p>
                <w:p w14:paraId="27F139F7" w14:textId="5AB626A9" w:rsidR="008E3BA7" w:rsidRPr="00BF7956" w:rsidRDefault="00AD4FAB" w:rsidP="00AD4FAB">
                  <w:pPr>
                    <w:pStyle w:val="CM4"/>
                    <w:framePr w:hSpace="180" w:wrap="around" w:vAnchor="text" w:hAnchor="margin" w:y="137"/>
                    <w:rPr>
                      <w:i/>
                      <w:iCs/>
                      <w:color w:val="000000"/>
                      <w:sz w:val="20"/>
                      <w:szCs w:val="20"/>
                      <w:lang w:val="ro-RO"/>
                    </w:rPr>
                  </w:pPr>
                  <w:r w:rsidRPr="00BF7956">
                    <w:rPr>
                      <w:color w:val="333333"/>
                      <w:sz w:val="20"/>
                      <w:szCs w:val="20"/>
                      <w:lang w:eastAsia="ro-MD"/>
                    </w:rPr>
                    <w:t>În conformitate cu punctul 33, subpunctele 1) și 2) din Regulamentul nr.44/2020 privind cerinţele de acoperire a necesarului de lichiditate pentru bănci, toate activele din sectorul public eligibile ca active de nivel 2A trebuie să aibă nivelul 1 sau 2 de calitate a creditului.</w:t>
                  </w:r>
                </w:p>
              </w:tc>
            </w:tr>
          </w:tbl>
          <w:p w14:paraId="15A69FCC"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44D20CA" w14:textId="61424A8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DEFC16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1DB1BA1" w14:textId="77777777" w:rsidR="008E3BA7" w:rsidRPr="00BF7956" w:rsidRDefault="008E3BA7" w:rsidP="008E3BA7">
            <w:pPr>
              <w:jc w:val="both"/>
              <w:rPr>
                <w:sz w:val="20"/>
                <w:szCs w:val="20"/>
                <w:lang w:val="ro-RO"/>
              </w:rPr>
            </w:pPr>
          </w:p>
        </w:tc>
        <w:tc>
          <w:tcPr>
            <w:tcW w:w="992" w:type="dxa"/>
          </w:tcPr>
          <w:p w14:paraId="0DBFC476" w14:textId="77777777" w:rsidR="008E3BA7" w:rsidRPr="00BF7956" w:rsidRDefault="008E3BA7" w:rsidP="008E3BA7">
            <w:pPr>
              <w:jc w:val="both"/>
              <w:rPr>
                <w:sz w:val="20"/>
                <w:szCs w:val="20"/>
                <w:lang w:val="ro-RO"/>
              </w:rPr>
            </w:pPr>
          </w:p>
        </w:tc>
      </w:tr>
      <w:tr w:rsidR="008E3BA7" w:rsidRPr="00BF7956" w14:paraId="2760CC2D"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28A2F6E9" w14:textId="77777777" w:rsidTr="002B12FE">
              <w:tc>
                <w:tcPr>
                  <w:tcW w:w="714" w:type="dxa"/>
                </w:tcPr>
                <w:p w14:paraId="5A6097F0" w14:textId="76BE070C" w:rsidR="008E3BA7" w:rsidRPr="00BF7956" w:rsidRDefault="002A791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18</w:t>
                  </w:r>
                  <w:r w:rsidRPr="00BF7956">
                    <w:rPr>
                      <w:color w:val="000000"/>
                      <w:sz w:val="20"/>
                      <w:szCs w:val="20"/>
                    </w:rPr>
                    <w:t>5</w:t>
                  </w:r>
                </w:p>
              </w:tc>
              <w:tc>
                <w:tcPr>
                  <w:tcW w:w="3684" w:type="dxa"/>
                </w:tcPr>
                <w:p w14:paraId="46B1A8BB" w14:textId="551B81B8"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1.2.3</w:t>
                  </w:r>
                  <w:r w:rsidRPr="00BF7956">
                    <w:rPr>
                      <w:color w:val="000000"/>
                      <w:sz w:val="20"/>
                      <w:szCs w:val="20"/>
                    </w:rPr>
                    <w:t xml:space="preserve"> </w:t>
                  </w:r>
                  <w:r w:rsidRPr="00BF7956">
                    <w:rPr>
                      <w:b/>
                      <w:bCs/>
                      <w:color w:val="000000"/>
                      <w:sz w:val="20"/>
                      <w:szCs w:val="20"/>
                    </w:rPr>
                    <w:t xml:space="preserve">Active tranzacţionabile de nivel 2B </w:t>
                  </w:r>
                  <w:r w:rsidR="004448B8" w:rsidRPr="00BF7956">
                    <w:rPr>
                      <w:color w:val="000000"/>
                      <w:sz w:val="20"/>
                      <w:szCs w:val="20"/>
                    </w:rPr>
                    <w:t>Cuantumul ieșirilor de numerar raportate la punctul 1.2 care sunt garantate cu active tranzacţionabile care ar îndeplini cerinţele prevăzute la articolele 7, 8 și 12 sau 13 din Regulamentul delegat (UE) 2015/61 dacă nu ar garanta respectiva tranzacţie. Acţiunile sau unităţile deţinute în OPC-uri în conformitate cu articolul 15 din Regulamentul delegat (UE) 2015/61 care se califică drept active de nivel 2B se raportează în subcategoriile de mai jos corespunzătoare activelor-suport ale acestora.</w:t>
                  </w:r>
                </w:p>
              </w:tc>
            </w:tr>
          </w:tbl>
          <w:p w14:paraId="22095ED3"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3A7F7962" w14:textId="77777777" w:rsidTr="00CE67CE">
              <w:tc>
                <w:tcPr>
                  <w:tcW w:w="714" w:type="dxa"/>
                </w:tcPr>
                <w:p w14:paraId="354C3A59" w14:textId="0F32F759" w:rsidR="008E3BA7" w:rsidRPr="00BF7956" w:rsidRDefault="004448B8"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18</w:t>
                  </w:r>
                  <w:r w:rsidRPr="00BF7956">
                    <w:rPr>
                      <w:color w:val="000000"/>
                      <w:sz w:val="20"/>
                      <w:szCs w:val="20"/>
                    </w:rPr>
                    <w:t>5</w:t>
                  </w:r>
                </w:p>
              </w:tc>
              <w:tc>
                <w:tcPr>
                  <w:tcW w:w="3684" w:type="dxa"/>
                </w:tcPr>
                <w:p w14:paraId="2E9CB8AC" w14:textId="77777777" w:rsidR="004448B8" w:rsidRPr="00BF7956" w:rsidRDefault="004448B8" w:rsidP="004448B8">
                  <w:pPr>
                    <w:framePr w:hSpace="180" w:wrap="around" w:vAnchor="text" w:hAnchor="margin" w:y="137"/>
                    <w:spacing w:before="60" w:after="60"/>
                    <w:jc w:val="both"/>
                    <w:rPr>
                      <w:b/>
                      <w:bCs/>
                      <w:color w:val="000000"/>
                      <w:sz w:val="20"/>
                      <w:szCs w:val="20"/>
                      <w:lang w:val="it-IT"/>
                    </w:rPr>
                  </w:pPr>
                  <w:r w:rsidRPr="00BF7956">
                    <w:rPr>
                      <w:b/>
                      <w:bCs/>
                      <w:color w:val="000000"/>
                      <w:sz w:val="20"/>
                      <w:szCs w:val="20"/>
                      <w:lang w:val="it-IT"/>
                    </w:rPr>
                    <w:t>1.2.3 Active tranzacționabile de nivel 2B</w:t>
                  </w:r>
                </w:p>
                <w:p w14:paraId="4D657061" w14:textId="72353EBC" w:rsidR="004448B8" w:rsidRPr="00BF7956" w:rsidRDefault="004448B8" w:rsidP="004448B8">
                  <w:pPr>
                    <w:framePr w:hSpace="180" w:wrap="around" w:vAnchor="text" w:hAnchor="margin" w:y="137"/>
                    <w:spacing w:before="60" w:after="60"/>
                    <w:jc w:val="both"/>
                    <w:rPr>
                      <w:color w:val="000000"/>
                      <w:sz w:val="20"/>
                      <w:szCs w:val="20"/>
                      <w:lang w:val="it-IT"/>
                    </w:rPr>
                  </w:pPr>
                  <w:r w:rsidRPr="00BF7956">
                    <w:rPr>
                      <w:color w:val="000000"/>
                      <w:sz w:val="20"/>
                      <w:szCs w:val="20"/>
                      <w:lang w:val="it-IT"/>
                    </w:rPr>
                    <w:t>Cuantumul ieșirilor de numerar raportate la punctul 1.2 garantate cu active tranzacționabile care ar îndeplini cerințele prevăzute la punctele 21-29, 35 și 36 din Regulamentul nr.44/2020 privind cerinţele de acoperire a necesarului de lichiditate pentru bănci</w:t>
                  </w:r>
                  <w:r w:rsidR="00BB2562">
                    <w:rPr>
                      <w:color w:val="000000"/>
                      <w:sz w:val="20"/>
                      <w:szCs w:val="20"/>
                      <w:lang w:val="it-IT"/>
                    </w:rPr>
                    <w:t>,</w:t>
                  </w:r>
                  <w:r w:rsidRPr="00BF7956">
                    <w:rPr>
                      <w:color w:val="000000"/>
                      <w:sz w:val="20"/>
                      <w:szCs w:val="20"/>
                      <w:lang w:val="it-IT"/>
                    </w:rPr>
                    <w:t xml:space="preserve"> dacă nu ar garanta respectiva tranzacție. </w:t>
                  </w:r>
                </w:p>
                <w:p w14:paraId="48673595" w14:textId="47952788" w:rsidR="008E3BA7" w:rsidRPr="00BF7956" w:rsidRDefault="004448B8" w:rsidP="004448B8">
                  <w:pPr>
                    <w:pStyle w:val="CM4"/>
                    <w:framePr w:hSpace="180" w:wrap="around" w:vAnchor="text" w:hAnchor="margin" w:y="137"/>
                    <w:spacing w:before="60" w:after="60"/>
                    <w:rPr>
                      <w:i/>
                      <w:iCs/>
                      <w:color w:val="000000"/>
                      <w:sz w:val="20"/>
                      <w:szCs w:val="20"/>
                      <w:lang w:val="ro-RO"/>
                    </w:rPr>
                  </w:pPr>
                  <w:r w:rsidRPr="00BF7956">
                    <w:rPr>
                      <w:color w:val="000000"/>
                      <w:sz w:val="20"/>
                      <w:szCs w:val="20"/>
                      <w:lang w:val="it-IT"/>
                    </w:rPr>
                    <w:t>Acțiunile sau unitățile deținute în OPC-uri în conformitate cu punctele 37-41 din Regulamentul nr.44/2020 privind cerinţele de acoperire a necesarului de lichiditate pentru bănci care se califică drept active de nivel 2B se raportează în subcategoriile de mai jos corespunzătoare activelor-suport ale acestora.</w:t>
                  </w:r>
                </w:p>
              </w:tc>
            </w:tr>
          </w:tbl>
          <w:p w14:paraId="5C879A12"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92E8113" w14:textId="02F5F2E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81A9C4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FE94819" w14:textId="77777777" w:rsidR="008E3BA7" w:rsidRPr="00BF7956" w:rsidRDefault="008E3BA7" w:rsidP="008E3BA7">
            <w:pPr>
              <w:jc w:val="both"/>
              <w:rPr>
                <w:sz w:val="20"/>
                <w:szCs w:val="20"/>
                <w:lang w:val="ro-RO"/>
              </w:rPr>
            </w:pPr>
          </w:p>
        </w:tc>
        <w:tc>
          <w:tcPr>
            <w:tcW w:w="992" w:type="dxa"/>
          </w:tcPr>
          <w:p w14:paraId="137FC2CC" w14:textId="77777777" w:rsidR="008E3BA7" w:rsidRPr="00BF7956" w:rsidRDefault="008E3BA7" w:rsidP="008E3BA7">
            <w:pPr>
              <w:jc w:val="both"/>
              <w:rPr>
                <w:sz w:val="20"/>
                <w:szCs w:val="20"/>
                <w:lang w:val="ro-RO"/>
              </w:rPr>
            </w:pPr>
          </w:p>
        </w:tc>
      </w:tr>
      <w:tr w:rsidR="008E3BA7" w:rsidRPr="002C43F1" w14:paraId="25097C8B" w14:textId="77777777" w:rsidTr="00C25F84">
        <w:tc>
          <w:tcPr>
            <w:tcW w:w="4576" w:type="dxa"/>
          </w:tcPr>
          <w:tbl>
            <w:tblPr>
              <w:tblStyle w:val="TableGrid"/>
              <w:tblW w:w="4398" w:type="dxa"/>
              <w:tblLayout w:type="fixed"/>
              <w:tblLook w:val="04A0" w:firstRow="1" w:lastRow="0" w:firstColumn="1" w:lastColumn="0" w:noHBand="0" w:noVBand="1"/>
            </w:tblPr>
            <w:tblGrid>
              <w:gridCol w:w="714"/>
              <w:gridCol w:w="3684"/>
            </w:tblGrid>
            <w:tr w:rsidR="008E3BA7" w:rsidRPr="002C43F1" w14:paraId="50D7BB6D" w14:textId="77777777" w:rsidTr="002B12FE">
              <w:tc>
                <w:tcPr>
                  <w:tcW w:w="714" w:type="dxa"/>
                </w:tcPr>
                <w:p w14:paraId="0EE70E7B" w14:textId="60DBC258" w:rsidR="008E3BA7" w:rsidRPr="00BF7956" w:rsidRDefault="004448B8"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19</w:t>
                  </w:r>
                  <w:r w:rsidRPr="00BF7956">
                    <w:rPr>
                      <w:color w:val="000000"/>
                      <w:sz w:val="20"/>
                      <w:szCs w:val="20"/>
                    </w:rPr>
                    <w:t>5</w:t>
                  </w:r>
                </w:p>
              </w:tc>
              <w:tc>
                <w:tcPr>
                  <w:tcW w:w="3684" w:type="dxa"/>
                </w:tcPr>
                <w:p w14:paraId="14E7D79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1.2.3.1</w:t>
                  </w:r>
                  <w:r w:rsidRPr="00BF7956">
                    <w:rPr>
                      <w:color w:val="000000"/>
                      <w:sz w:val="20"/>
                      <w:szCs w:val="20"/>
                    </w:rPr>
                    <w:t xml:space="preserve"> </w:t>
                  </w:r>
                  <w:r w:rsidRPr="00BF7956">
                    <w:rPr>
                      <w:b/>
                      <w:bCs/>
                      <w:color w:val="000000"/>
                      <w:sz w:val="20"/>
                      <w:szCs w:val="20"/>
                    </w:rPr>
                    <w:t xml:space="preserve">Titluri garantate cu active – ABS – de nivel 2B (CQS 1) </w:t>
                  </w:r>
                </w:p>
                <w:p w14:paraId="5123433F" w14:textId="147A9632" w:rsidR="008E3BA7" w:rsidRPr="00BF7956" w:rsidRDefault="004448B8"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Cuantumul ieșirilor de numerar raportate la punctul 1.2.3 care sunt garantate cu titluri garantate cu active, inclusiv cu titluri garantate cu ipoteci asupra proprietăţilor imobiliare locative (RMBS). A se reţine faptul că, în conformitate cu articolul 13 alineatul (2) litera (a) din Regulamentul delegat (UE) 2015/61, toate titlurile garantate cu active eligibile ca active de nivel 2B trebuie să aibă nivelul 1 de calitate a creditului.</w:t>
                  </w:r>
                </w:p>
              </w:tc>
            </w:tr>
          </w:tbl>
          <w:p w14:paraId="558559AC"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8" w:type="dxa"/>
              <w:tblLayout w:type="fixed"/>
              <w:tblLook w:val="04A0" w:firstRow="1" w:lastRow="0" w:firstColumn="1" w:lastColumn="0" w:noHBand="0" w:noVBand="1"/>
            </w:tblPr>
            <w:tblGrid>
              <w:gridCol w:w="714"/>
              <w:gridCol w:w="3684"/>
            </w:tblGrid>
            <w:tr w:rsidR="008E3BA7" w:rsidRPr="002C43F1" w14:paraId="621E4836" w14:textId="77777777" w:rsidTr="00CE67CE">
              <w:tc>
                <w:tcPr>
                  <w:tcW w:w="714" w:type="dxa"/>
                </w:tcPr>
                <w:p w14:paraId="20DDE30D" w14:textId="278604B8" w:rsidR="008E3BA7" w:rsidRPr="00BF7956" w:rsidRDefault="004448B8"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0195</w:t>
                  </w:r>
                </w:p>
              </w:tc>
              <w:tc>
                <w:tcPr>
                  <w:tcW w:w="3684" w:type="dxa"/>
                </w:tcPr>
                <w:p w14:paraId="7B5C2A1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1.2.3.1</w:t>
                  </w:r>
                  <w:r w:rsidRPr="00BF7956">
                    <w:rPr>
                      <w:color w:val="000000"/>
                      <w:sz w:val="20"/>
                      <w:szCs w:val="20"/>
                    </w:rPr>
                    <w:t xml:space="preserve"> </w:t>
                  </w:r>
                  <w:r w:rsidRPr="00BF7956">
                    <w:rPr>
                      <w:b/>
                      <w:bCs/>
                      <w:color w:val="000000"/>
                      <w:sz w:val="20"/>
                      <w:szCs w:val="20"/>
                    </w:rPr>
                    <w:t xml:space="preserve">Titluri garantate cu active – ABS – de nivel 2B (CQS 1) </w:t>
                  </w:r>
                </w:p>
                <w:p w14:paraId="12124644" w14:textId="41A00AEE" w:rsidR="008E3BA7" w:rsidRPr="00BF7956" w:rsidRDefault="008E3BA7" w:rsidP="004448B8">
                  <w:pPr>
                    <w:pStyle w:val="CM4"/>
                    <w:framePr w:hSpace="180" w:wrap="around" w:vAnchor="text" w:hAnchor="margin" w:y="137"/>
                    <w:spacing w:before="60" w:after="60"/>
                    <w:rPr>
                      <w:i/>
                      <w:iCs/>
                      <w:color w:val="000000"/>
                      <w:sz w:val="20"/>
                      <w:szCs w:val="20"/>
                      <w:lang w:val="ro-RO"/>
                    </w:rPr>
                  </w:pPr>
                </w:p>
              </w:tc>
            </w:tr>
          </w:tbl>
          <w:p w14:paraId="77CDFE8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4AAD2EB" w14:textId="6FEF09F4" w:rsidR="008E3BA7" w:rsidRPr="00BF7956" w:rsidRDefault="008E3BA7" w:rsidP="008E3BA7">
            <w:pPr>
              <w:rPr>
                <w:b/>
                <w:strike/>
                <w:sz w:val="20"/>
                <w:szCs w:val="20"/>
                <w:lang w:val="ro-RO"/>
              </w:rPr>
            </w:pPr>
            <w:r w:rsidRPr="00BF7956">
              <w:rPr>
                <w:bCs/>
                <w:sz w:val="20"/>
                <w:szCs w:val="20"/>
                <w:lang w:val="ro-RO"/>
              </w:rPr>
              <w:lastRenderedPageBreak/>
              <w:t>Necompatibil</w:t>
            </w:r>
          </w:p>
        </w:tc>
        <w:tc>
          <w:tcPr>
            <w:tcW w:w="2223" w:type="dxa"/>
          </w:tcPr>
          <w:p w14:paraId="186A52AC" w14:textId="280659B1" w:rsidR="008E3BA7" w:rsidRPr="00BF7956" w:rsidRDefault="008E3BA7" w:rsidP="008E3BA7">
            <w:pPr>
              <w:rPr>
                <w:sz w:val="20"/>
                <w:szCs w:val="20"/>
                <w:lang w:val="ro-RO"/>
              </w:rPr>
            </w:pPr>
            <w:r w:rsidRPr="00BF7956">
              <w:rPr>
                <w:sz w:val="20"/>
                <w:szCs w:val="20"/>
                <w:lang w:val="ro-RO"/>
              </w:rPr>
              <w:t xml:space="preserve">Prevederile aferente titluri garantate cu active – ABS nu au fost </w:t>
            </w:r>
            <w:r w:rsidRPr="00BF7956">
              <w:rPr>
                <w:sz w:val="20"/>
                <w:szCs w:val="20"/>
                <w:lang w:val="ro-RO"/>
              </w:rPr>
              <w:lastRenderedPageBreak/>
              <w:t>transpuse deoarece titlurile garantate cu active – ABS,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41F24708" w14:textId="77777777" w:rsidR="008E3BA7" w:rsidRPr="00BF7956" w:rsidRDefault="008E3BA7" w:rsidP="008E3BA7">
            <w:pPr>
              <w:jc w:val="both"/>
              <w:rPr>
                <w:sz w:val="20"/>
                <w:szCs w:val="20"/>
                <w:lang w:val="ro-RO"/>
              </w:rPr>
            </w:pPr>
          </w:p>
        </w:tc>
        <w:tc>
          <w:tcPr>
            <w:tcW w:w="992" w:type="dxa"/>
          </w:tcPr>
          <w:p w14:paraId="069BE0BE" w14:textId="77777777" w:rsidR="008E3BA7" w:rsidRPr="00BF7956" w:rsidRDefault="008E3BA7" w:rsidP="008E3BA7">
            <w:pPr>
              <w:jc w:val="both"/>
              <w:rPr>
                <w:sz w:val="20"/>
                <w:szCs w:val="20"/>
                <w:lang w:val="ro-RO"/>
              </w:rPr>
            </w:pPr>
          </w:p>
        </w:tc>
      </w:tr>
      <w:tr w:rsidR="008E3BA7" w:rsidRPr="002C43F1" w14:paraId="11F40A4A" w14:textId="77777777" w:rsidTr="00C25F84">
        <w:tc>
          <w:tcPr>
            <w:tcW w:w="4576" w:type="dxa"/>
          </w:tcPr>
          <w:tbl>
            <w:tblPr>
              <w:tblStyle w:val="TableGrid"/>
              <w:tblW w:w="4392" w:type="dxa"/>
              <w:tblLayout w:type="fixed"/>
              <w:tblLook w:val="04A0" w:firstRow="1" w:lastRow="0" w:firstColumn="1" w:lastColumn="0" w:noHBand="0" w:noVBand="1"/>
            </w:tblPr>
            <w:tblGrid>
              <w:gridCol w:w="733"/>
              <w:gridCol w:w="3659"/>
            </w:tblGrid>
            <w:tr w:rsidR="008E3BA7" w:rsidRPr="002C43F1" w14:paraId="504A29C8" w14:textId="77777777" w:rsidTr="007F6058">
              <w:tc>
                <w:tcPr>
                  <w:tcW w:w="733" w:type="dxa"/>
                </w:tcPr>
                <w:p w14:paraId="7F3E21E1" w14:textId="74F8ED80"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0205</w:t>
                  </w:r>
                </w:p>
              </w:tc>
              <w:tc>
                <w:tcPr>
                  <w:tcW w:w="3659" w:type="dxa"/>
                </w:tcPr>
                <w:p w14:paraId="0AFC953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1.2.3.2</w:t>
                  </w:r>
                  <w:r w:rsidRPr="00BF7956">
                    <w:rPr>
                      <w:color w:val="000000"/>
                      <w:sz w:val="20"/>
                      <w:szCs w:val="20"/>
                    </w:rPr>
                    <w:t xml:space="preserve"> </w:t>
                  </w:r>
                  <w:r w:rsidRPr="00BF7956">
                    <w:rPr>
                      <w:b/>
                      <w:bCs/>
                      <w:color w:val="000000"/>
                      <w:sz w:val="20"/>
                      <w:szCs w:val="20"/>
                    </w:rPr>
                    <w:t xml:space="preserve">Obligaţiuni garantate de nivel 2B (CQS 1-6) </w:t>
                  </w:r>
                </w:p>
                <w:p w14:paraId="0DA6BA6A" w14:textId="58462B32"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1.2.3 care sunt garantate cu obligaţiuni garantate.</w:t>
                  </w:r>
                </w:p>
              </w:tc>
            </w:tr>
          </w:tbl>
          <w:p w14:paraId="7814E59A"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33"/>
              <w:gridCol w:w="3659"/>
            </w:tblGrid>
            <w:tr w:rsidR="008E3BA7" w:rsidRPr="002C43F1" w14:paraId="2C52D247" w14:textId="77777777" w:rsidTr="00CE67CE">
              <w:tc>
                <w:tcPr>
                  <w:tcW w:w="733" w:type="dxa"/>
                </w:tcPr>
                <w:p w14:paraId="161236EB" w14:textId="48486F69"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0205</w:t>
                  </w:r>
                </w:p>
              </w:tc>
              <w:tc>
                <w:tcPr>
                  <w:tcW w:w="3659" w:type="dxa"/>
                </w:tcPr>
                <w:p w14:paraId="2BF2724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1.2.3.2</w:t>
                  </w:r>
                  <w:r w:rsidRPr="00BF7956">
                    <w:rPr>
                      <w:color w:val="000000"/>
                      <w:sz w:val="20"/>
                      <w:szCs w:val="20"/>
                    </w:rPr>
                    <w:t xml:space="preserve"> </w:t>
                  </w:r>
                  <w:r w:rsidRPr="00BF7956">
                    <w:rPr>
                      <w:b/>
                      <w:bCs/>
                      <w:color w:val="000000"/>
                      <w:sz w:val="20"/>
                      <w:szCs w:val="20"/>
                    </w:rPr>
                    <w:t xml:space="preserve">Obligaţiuni garantate de nivel 2B (CQS 1-6) </w:t>
                  </w:r>
                </w:p>
                <w:p w14:paraId="53D1A279" w14:textId="0CBC4828" w:rsidR="008E3BA7" w:rsidRPr="00BF7956" w:rsidRDefault="008E3BA7" w:rsidP="008E3BA7">
                  <w:pPr>
                    <w:pStyle w:val="CM4"/>
                    <w:framePr w:hSpace="180" w:wrap="around" w:vAnchor="text" w:hAnchor="margin" w:y="137"/>
                    <w:spacing w:before="60" w:after="60"/>
                    <w:rPr>
                      <w:i/>
                      <w:iCs/>
                      <w:color w:val="000000"/>
                      <w:sz w:val="20"/>
                      <w:szCs w:val="20"/>
                      <w:lang w:val="ro-RO"/>
                    </w:rPr>
                  </w:pPr>
                </w:p>
              </w:tc>
            </w:tr>
          </w:tbl>
          <w:p w14:paraId="54B947B2"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3006715" w14:textId="1D28D3B1"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217F6E4B" w14:textId="1A39A86C"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30B6E8AC" w14:textId="77777777" w:rsidR="008E3BA7" w:rsidRPr="00BF7956" w:rsidRDefault="008E3BA7" w:rsidP="008E3BA7">
            <w:pPr>
              <w:jc w:val="both"/>
              <w:rPr>
                <w:sz w:val="20"/>
                <w:szCs w:val="20"/>
                <w:lang w:val="ro-RO"/>
              </w:rPr>
            </w:pPr>
          </w:p>
        </w:tc>
        <w:tc>
          <w:tcPr>
            <w:tcW w:w="992" w:type="dxa"/>
          </w:tcPr>
          <w:p w14:paraId="7408D583" w14:textId="77777777" w:rsidR="008E3BA7" w:rsidRPr="00BF7956" w:rsidRDefault="008E3BA7" w:rsidP="008E3BA7">
            <w:pPr>
              <w:jc w:val="both"/>
              <w:rPr>
                <w:sz w:val="20"/>
                <w:szCs w:val="20"/>
                <w:lang w:val="ro-RO"/>
              </w:rPr>
            </w:pPr>
          </w:p>
        </w:tc>
      </w:tr>
      <w:tr w:rsidR="008E3BA7" w:rsidRPr="00BF7956" w14:paraId="34D1FFC1"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6AB86863" w14:textId="77777777" w:rsidTr="007B697C">
              <w:tc>
                <w:tcPr>
                  <w:tcW w:w="718" w:type="dxa"/>
                </w:tcPr>
                <w:p w14:paraId="4831BD1D" w14:textId="7F8197A9"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0215</w:t>
                  </w:r>
                </w:p>
              </w:tc>
              <w:tc>
                <w:tcPr>
                  <w:tcW w:w="3674" w:type="dxa"/>
                </w:tcPr>
                <w:p w14:paraId="213E773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1.2.3.3</w:t>
                  </w:r>
                  <w:r w:rsidRPr="00BF7956">
                    <w:rPr>
                      <w:color w:val="000000"/>
                      <w:sz w:val="20"/>
                      <w:szCs w:val="20"/>
                    </w:rPr>
                    <w:t xml:space="preserve"> </w:t>
                  </w:r>
                  <w:r w:rsidRPr="00BF7956">
                    <w:rPr>
                      <w:b/>
                      <w:bCs/>
                      <w:color w:val="000000"/>
                      <w:sz w:val="20"/>
                      <w:szCs w:val="20"/>
                    </w:rPr>
                    <w:t xml:space="preserve">Obligaţiuni corporative de nivel 2B (CQS 1-3) </w:t>
                  </w:r>
                </w:p>
                <w:p w14:paraId="3730EB1C" w14:textId="55AEB090"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1.2.3 care sunt garantate cu titluri de datorie emise de societăţile comerciale.</w:t>
                  </w:r>
                </w:p>
              </w:tc>
            </w:tr>
          </w:tbl>
          <w:p w14:paraId="3896E976"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2E056536" w14:textId="77777777" w:rsidTr="00CE67CE">
              <w:tc>
                <w:tcPr>
                  <w:tcW w:w="718" w:type="dxa"/>
                </w:tcPr>
                <w:p w14:paraId="50276F1D" w14:textId="71A343F9"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21</w:t>
                  </w:r>
                  <w:r w:rsidRPr="00BF7956">
                    <w:rPr>
                      <w:color w:val="000000"/>
                      <w:sz w:val="20"/>
                      <w:szCs w:val="20"/>
                    </w:rPr>
                    <w:t>5</w:t>
                  </w:r>
                </w:p>
              </w:tc>
              <w:tc>
                <w:tcPr>
                  <w:tcW w:w="3674" w:type="dxa"/>
                </w:tcPr>
                <w:p w14:paraId="13DE91B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1.2.3.3</w:t>
                  </w:r>
                  <w:r w:rsidRPr="00BF7956">
                    <w:rPr>
                      <w:color w:val="000000"/>
                      <w:sz w:val="20"/>
                      <w:szCs w:val="20"/>
                    </w:rPr>
                    <w:t xml:space="preserve"> </w:t>
                  </w:r>
                  <w:r w:rsidRPr="00BF7956">
                    <w:rPr>
                      <w:b/>
                      <w:bCs/>
                      <w:color w:val="000000"/>
                      <w:sz w:val="20"/>
                      <w:szCs w:val="20"/>
                    </w:rPr>
                    <w:t xml:space="preserve">Obligaţiuni corporative de nivel 2B (CQS 1-3) </w:t>
                  </w:r>
                </w:p>
                <w:p w14:paraId="5C89D035" w14:textId="300D35D2"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1.2.3 garantate cu titluri de creanță emise de societățile comerciale.</w:t>
                  </w:r>
                </w:p>
              </w:tc>
            </w:tr>
          </w:tbl>
          <w:p w14:paraId="108737F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E7B18B6" w14:textId="0253A1F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36FBC0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08C73EA" w14:textId="77777777" w:rsidR="008E3BA7" w:rsidRPr="00BF7956" w:rsidRDefault="008E3BA7" w:rsidP="008E3BA7">
            <w:pPr>
              <w:jc w:val="both"/>
              <w:rPr>
                <w:sz w:val="20"/>
                <w:szCs w:val="20"/>
                <w:lang w:val="ro-RO"/>
              </w:rPr>
            </w:pPr>
          </w:p>
        </w:tc>
        <w:tc>
          <w:tcPr>
            <w:tcW w:w="992" w:type="dxa"/>
          </w:tcPr>
          <w:p w14:paraId="1747B406" w14:textId="77777777" w:rsidR="008E3BA7" w:rsidRPr="00BF7956" w:rsidRDefault="008E3BA7" w:rsidP="008E3BA7">
            <w:pPr>
              <w:jc w:val="both"/>
              <w:rPr>
                <w:sz w:val="20"/>
                <w:szCs w:val="20"/>
                <w:lang w:val="ro-RO"/>
              </w:rPr>
            </w:pPr>
          </w:p>
        </w:tc>
      </w:tr>
      <w:tr w:rsidR="008E3BA7" w:rsidRPr="00BF7956" w14:paraId="2900D3B1"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636BB38F" w14:textId="77777777" w:rsidTr="00632DBC">
              <w:tc>
                <w:tcPr>
                  <w:tcW w:w="718" w:type="dxa"/>
                </w:tcPr>
                <w:p w14:paraId="3F89884A" w14:textId="16F4CA17"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0225</w:t>
                  </w:r>
                </w:p>
              </w:tc>
              <w:tc>
                <w:tcPr>
                  <w:tcW w:w="3674" w:type="dxa"/>
                </w:tcPr>
                <w:p w14:paraId="629F421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1.2.3.4</w:t>
                  </w:r>
                  <w:r w:rsidRPr="00BF7956">
                    <w:rPr>
                      <w:color w:val="000000"/>
                      <w:sz w:val="20"/>
                      <w:szCs w:val="20"/>
                    </w:rPr>
                    <w:t xml:space="preserve"> </w:t>
                  </w:r>
                  <w:r w:rsidRPr="00BF7956">
                    <w:rPr>
                      <w:b/>
                      <w:bCs/>
                      <w:color w:val="000000"/>
                      <w:sz w:val="20"/>
                      <w:szCs w:val="20"/>
                    </w:rPr>
                    <w:t xml:space="preserve">Acţiuni de nivel 2B </w:t>
                  </w:r>
                </w:p>
                <w:p w14:paraId="1A3E4F0F" w14:textId="55EF1B03"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1.2.3 care sunt garantate cu acţiuni.</w:t>
                  </w:r>
                </w:p>
              </w:tc>
            </w:tr>
          </w:tbl>
          <w:p w14:paraId="6F11ED70"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0EB15040" w14:textId="77777777" w:rsidTr="00CE67CE">
              <w:tc>
                <w:tcPr>
                  <w:tcW w:w="718" w:type="dxa"/>
                </w:tcPr>
                <w:p w14:paraId="34E08BA6" w14:textId="51B7FAC9"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0225</w:t>
                  </w:r>
                </w:p>
              </w:tc>
              <w:tc>
                <w:tcPr>
                  <w:tcW w:w="3674" w:type="dxa"/>
                </w:tcPr>
                <w:p w14:paraId="0AED231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1.2.3.4</w:t>
                  </w:r>
                  <w:r w:rsidRPr="00BF7956">
                    <w:rPr>
                      <w:color w:val="000000"/>
                      <w:sz w:val="20"/>
                      <w:szCs w:val="20"/>
                    </w:rPr>
                    <w:t xml:space="preserve"> </w:t>
                  </w:r>
                  <w:r w:rsidRPr="00BF7956">
                    <w:rPr>
                      <w:b/>
                      <w:bCs/>
                      <w:color w:val="000000"/>
                      <w:sz w:val="20"/>
                      <w:szCs w:val="20"/>
                    </w:rPr>
                    <w:t xml:space="preserve">Acţiuni de nivel 2B </w:t>
                  </w:r>
                </w:p>
                <w:p w14:paraId="255A27B0" w14:textId="05D69814" w:rsidR="008E3BA7" w:rsidRPr="00BF7956" w:rsidRDefault="0051368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1.2.3 garantate cu acțiuni.</w:t>
                  </w:r>
                </w:p>
              </w:tc>
            </w:tr>
          </w:tbl>
          <w:p w14:paraId="1DCEDF32"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4553E3C" w14:textId="1931FF1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54138B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228E7A5" w14:textId="77777777" w:rsidR="008E3BA7" w:rsidRPr="00BF7956" w:rsidRDefault="008E3BA7" w:rsidP="008E3BA7">
            <w:pPr>
              <w:jc w:val="both"/>
              <w:rPr>
                <w:sz w:val="20"/>
                <w:szCs w:val="20"/>
                <w:lang w:val="ro-RO"/>
              </w:rPr>
            </w:pPr>
          </w:p>
        </w:tc>
        <w:tc>
          <w:tcPr>
            <w:tcW w:w="992" w:type="dxa"/>
          </w:tcPr>
          <w:p w14:paraId="564B7CD5" w14:textId="77777777" w:rsidR="008E3BA7" w:rsidRPr="00BF7956" w:rsidRDefault="008E3BA7" w:rsidP="008E3BA7">
            <w:pPr>
              <w:jc w:val="both"/>
              <w:rPr>
                <w:sz w:val="20"/>
                <w:szCs w:val="20"/>
                <w:lang w:val="ro-RO"/>
              </w:rPr>
            </w:pPr>
          </w:p>
        </w:tc>
      </w:tr>
      <w:tr w:rsidR="008E3BA7" w:rsidRPr="00BF7956" w14:paraId="7DA6842F"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1780A623" w14:textId="77777777" w:rsidTr="00612E64">
              <w:tc>
                <w:tcPr>
                  <w:tcW w:w="718" w:type="dxa"/>
                </w:tcPr>
                <w:p w14:paraId="35D46F3C" w14:textId="2CBAF860"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23</w:t>
                  </w:r>
                  <w:r w:rsidRPr="00BF7956">
                    <w:rPr>
                      <w:color w:val="000000"/>
                      <w:sz w:val="20"/>
                      <w:szCs w:val="20"/>
                    </w:rPr>
                    <w:t>5</w:t>
                  </w:r>
                </w:p>
              </w:tc>
              <w:tc>
                <w:tcPr>
                  <w:tcW w:w="3674" w:type="dxa"/>
                </w:tcPr>
                <w:p w14:paraId="7052027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1.2.3.5</w:t>
                  </w:r>
                  <w:r w:rsidRPr="00BF7956">
                    <w:rPr>
                      <w:color w:val="000000"/>
                      <w:sz w:val="20"/>
                      <w:szCs w:val="20"/>
                    </w:rPr>
                    <w:t xml:space="preserve"> </w:t>
                  </w:r>
                  <w:r w:rsidRPr="00BF7956">
                    <w:rPr>
                      <w:b/>
                      <w:bCs/>
                      <w:color w:val="000000"/>
                      <w:sz w:val="20"/>
                      <w:szCs w:val="20"/>
                    </w:rPr>
                    <w:t xml:space="preserve">Active de nivel 2B aferente sectorului public (CQS 3-5) </w:t>
                  </w:r>
                </w:p>
                <w:p w14:paraId="31BC150F" w14:textId="029703C6"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Cuantumul ieșirilor de numerar raportate la punctul 1.2.3 care sunt garantate cu active de nivel 2B care nu sunt raportate la punctele 1.2.3.1-1.2.3.4.</w:t>
                  </w:r>
                </w:p>
              </w:tc>
            </w:tr>
          </w:tbl>
          <w:p w14:paraId="2F49CEF6"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1158A114" w14:textId="77777777" w:rsidTr="00CE67CE">
              <w:tc>
                <w:tcPr>
                  <w:tcW w:w="718" w:type="dxa"/>
                </w:tcPr>
                <w:p w14:paraId="541DC49A" w14:textId="6061922F"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0235</w:t>
                  </w:r>
                </w:p>
              </w:tc>
              <w:tc>
                <w:tcPr>
                  <w:tcW w:w="3674" w:type="dxa"/>
                </w:tcPr>
                <w:p w14:paraId="53D502C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1.2.3.5</w:t>
                  </w:r>
                  <w:r w:rsidRPr="00BF7956">
                    <w:rPr>
                      <w:color w:val="000000"/>
                      <w:sz w:val="20"/>
                      <w:szCs w:val="20"/>
                    </w:rPr>
                    <w:t xml:space="preserve"> </w:t>
                  </w:r>
                  <w:r w:rsidRPr="00BF7956">
                    <w:rPr>
                      <w:b/>
                      <w:bCs/>
                      <w:color w:val="000000"/>
                      <w:sz w:val="20"/>
                      <w:szCs w:val="20"/>
                    </w:rPr>
                    <w:t>Active de nivel 2B aferente sectorului public (CQS 3-5)</w:t>
                  </w:r>
                </w:p>
                <w:p w14:paraId="150C3BA3" w14:textId="1494E221"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Cuantumul ieșirilor de numerar raportate la punctul 1.2.3 garantate cu active de nivel 2B care nu au fost raportate la punctele 1.2.3.1-1.2.3.4.</w:t>
                  </w:r>
                </w:p>
              </w:tc>
            </w:tr>
          </w:tbl>
          <w:p w14:paraId="3D957E98" w14:textId="77777777" w:rsidR="008E3BA7" w:rsidRPr="00BF7956" w:rsidRDefault="008E3BA7" w:rsidP="008E3BA7">
            <w:pPr>
              <w:autoSpaceDE w:val="0"/>
              <w:autoSpaceDN w:val="0"/>
              <w:adjustRightInd w:val="0"/>
              <w:spacing w:before="60" w:after="60"/>
              <w:jc w:val="center"/>
              <w:rPr>
                <w:color w:val="000000"/>
                <w:sz w:val="20"/>
                <w:szCs w:val="20"/>
                <w:lang w:val="ro-MD"/>
              </w:rPr>
            </w:pPr>
          </w:p>
        </w:tc>
        <w:tc>
          <w:tcPr>
            <w:tcW w:w="1418" w:type="dxa"/>
          </w:tcPr>
          <w:p w14:paraId="2B267525" w14:textId="0FFC045E" w:rsidR="008E3BA7" w:rsidRPr="00BF7956" w:rsidRDefault="008E3BA7" w:rsidP="008E3BA7">
            <w:pPr>
              <w:rPr>
                <w:b/>
                <w:strike/>
                <w:sz w:val="20"/>
                <w:szCs w:val="20"/>
                <w:lang w:val="ro-RO"/>
              </w:rPr>
            </w:pPr>
            <w:r w:rsidRPr="00BF7956">
              <w:rPr>
                <w:bCs/>
                <w:sz w:val="20"/>
                <w:szCs w:val="20"/>
                <w:lang w:val="ro-RO"/>
              </w:rPr>
              <w:lastRenderedPageBreak/>
              <w:t>Compatibil</w:t>
            </w:r>
          </w:p>
        </w:tc>
        <w:tc>
          <w:tcPr>
            <w:tcW w:w="2223" w:type="dxa"/>
          </w:tcPr>
          <w:p w14:paraId="7D68E3C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BF84E19" w14:textId="77777777" w:rsidR="008E3BA7" w:rsidRPr="00BF7956" w:rsidRDefault="008E3BA7" w:rsidP="008E3BA7">
            <w:pPr>
              <w:jc w:val="both"/>
              <w:rPr>
                <w:sz w:val="20"/>
                <w:szCs w:val="20"/>
                <w:lang w:val="ro-RO"/>
              </w:rPr>
            </w:pPr>
          </w:p>
        </w:tc>
        <w:tc>
          <w:tcPr>
            <w:tcW w:w="992" w:type="dxa"/>
          </w:tcPr>
          <w:p w14:paraId="3FD8DD17" w14:textId="77777777" w:rsidR="008E3BA7" w:rsidRPr="00BF7956" w:rsidRDefault="008E3BA7" w:rsidP="008E3BA7">
            <w:pPr>
              <w:jc w:val="both"/>
              <w:rPr>
                <w:sz w:val="20"/>
                <w:szCs w:val="20"/>
                <w:lang w:val="ro-RO"/>
              </w:rPr>
            </w:pPr>
          </w:p>
        </w:tc>
      </w:tr>
      <w:tr w:rsidR="008E3BA7" w:rsidRPr="00BF7956" w14:paraId="3C105ED9" w14:textId="77777777" w:rsidTr="00C25F84">
        <w:tc>
          <w:tcPr>
            <w:tcW w:w="4576" w:type="dxa"/>
          </w:tcPr>
          <w:tbl>
            <w:tblPr>
              <w:tblStyle w:val="TableGrid"/>
              <w:tblW w:w="4396" w:type="dxa"/>
              <w:tblLayout w:type="fixed"/>
              <w:tblLook w:val="04A0" w:firstRow="1" w:lastRow="0" w:firstColumn="1" w:lastColumn="0" w:noHBand="0" w:noVBand="1"/>
            </w:tblPr>
            <w:tblGrid>
              <w:gridCol w:w="707"/>
              <w:gridCol w:w="3689"/>
            </w:tblGrid>
            <w:tr w:rsidR="008E3BA7" w:rsidRPr="002C43F1" w14:paraId="69086880" w14:textId="77777777" w:rsidTr="00612E64">
              <w:tc>
                <w:tcPr>
                  <w:tcW w:w="707" w:type="dxa"/>
                </w:tcPr>
                <w:p w14:paraId="3D723D58" w14:textId="4A7358E0"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0245</w:t>
                  </w:r>
                </w:p>
              </w:tc>
              <w:tc>
                <w:tcPr>
                  <w:tcW w:w="3689" w:type="dxa"/>
                </w:tcPr>
                <w:p w14:paraId="62A82E63" w14:textId="125C6E46"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1.2.4</w:t>
                  </w:r>
                  <w:r w:rsidRPr="00BF7956">
                    <w:rPr>
                      <w:color w:val="000000"/>
                      <w:sz w:val="20"/>
                      <w:szCs w:val="20"/>
                    </w:rPr>
                    <w:t xml:space="preserve"> </w:t>
                  </w:r>
                  <w:r w:rsidRPr="00BF7956">
                    <w:rPr>
                      <w:b/>
                      <w:bCs/>
                      <w:color w:val="000000"/>
                      <w:sz w:val="20"/>
                      <w:szCs w:val="20"/>
                    </w:rPr>
                    <w:t xml:space="preserve">Alte active tranzacţionabile </w:t>
                  </w:r>
                  <w:r w:rsidR="00AD6BBC" w:rsidRPr="00BF7956">
                    <w:rPr>
                      <w:sz w:val="20"/>
                      <w:szCs w:val="20"/>
                    </w:rPr>
                    <w:t xml:space="preserve"> </w:t>
                  </w:r>
                  <w:r w:rsidR="00AD6BBC" w:rsidRPr="00BF7956">
                    <w:rPr>
                      <w:color w:val="000000"/>
                      <w:sz w:val="20"/>
                      <w:szCs w:val="20"/>
                    </w:rPr>
                    <w:t>Cuantumul ieșirilor de numerar raportate la punctul 1.2 care sunt garantate cu active tranzacţionabile care nu sunt raportate la punctul 1.2.1, 1.2.2 sau 1.2.3.</w:t>
                  </w:r>
                </w:p>
              </w:tc>
            </w:tr>
          </w:tbl>
          <w:p w14:paraId="4EFFAD50"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6" w:type="dxa"/>
              <w:tblLayout w:type="fixed"/>
              <w:tblLook w:val="04A0" w:firstRow="1" w:lastRow="0" w:firstColumn="1" w:lastColumn="0" w:noHBand="0" w:noVBand="1"/>
            </w:tblPr>
            <w:tblGrid>
              <w:gridCol w:w="707"/>
              <w:gridCol w:w="3689"/>
            </w:tblGrid>
            <w:tr w:rsidR="008E3BA7" w:rsidRPr="002C43F1" w14:paraId="36CAB1AC" w14:textId="77777777" w:rsidTr="00CE67CE">
              <w:tc>
                <w:tcPr>
                  <w:tcW w:w="707" w:type="dxa"/>
                </w:tcPr>
                <w:p w14:paraId="175E26E7" w14:textId="5FAC4A77"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0245</w:t>
                  </w:r>
                </w:p>
              </w:tc>
              <w:tc>
                <w:tcPr>
                  <w:tcW w:w="3689" w:type="dxa"/>
                </w:tcPr>
                <w:p w14:paraId="120722B2" w14:textId="2EB3BB92"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1.2.4</w:t>
                  </w:r>
                  <w:r w:rsidRPr="00BF7956">
                    <w:rPr>
                      <w:color w:val="000000"/>
                      <w:sz w:val="20"/>
                      <w:szCs w:val="20"/>
                    </w:rPr>
                    <w:t xml:space="preserve"> </w:t>
                  </w:r>
                  <w:r w:rsidRPr="00BF7956">
                    <w:rPr>
                      <w:b/>
                      <w:bCs/>
                      <w:color w:val="000000"/>
                      <w:sz w:val="20"/>
                      <w:szCs w:val="20"/>
                    </w:rPr>
                    <w:t xml:space="preserve">Alte active tranzacţionabile </w:t>
                  </w:r>
                  <w:r w:rsidR="00AD6BBC" w:rsidRPr="00BF7956">
                    <w:rPr>
                      <w:sz w:val="20"/>
                      <w:szCs w:val="20"/>
                    </w:rPr>
                    <w:t xml:space="preserve"> </w:t>
                  </w:r>
                  <w:r w:rsidR="00AD6BBC" w:rsidRPr="00BF7956">
                    <w:rPr>
                      <w:color w:val="000000"/>
                      <w:sz w:val="20"/>
                      <w:szCs w:val="20"/>
                    </w:rPr>
                    <w:t>Cuantumul ieșirilor de numerar raportate la punctul 1.2 garantate cu active tranzacționabile care nu sunt raportate la punct</w:t>
                  </w:r>
                  <w:r w:rsidR="00BB2562">
                    <w:rPr>
                      <w:color w:val="000000"/>
                      <w:sz w:val="20"/>
                      <w:szCs w:val="20"/>
                    </w:rPr>
                    <w:t>ele</w:t>
                  </w:r>
                  <w:r w:rsidR="00AD6BBC" w:rsidRPr="00BF7956">
                    <w:rPr>
                      <w:color w:val="000000"/>
                      <w:sz w:val="20"/>
                      <w:szCs w:val="20"/>
                    </w:rPr>
                    <w:t xml:space="preserve"> 1.2.1, 1.2.2 sau 1.2.3.</w:t>
                  </w:r>
                </w:p>
              </w:tc>
            </w:tr>
          </w:tbl>
          <w:p w14:paraId="41A8A6E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E18121B" w14:textId="532C141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C7B915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B848ADB" w14:textId="77777777" w:rsidR="008E3BA7" w:rsidRPr="00BF7956" w:rsidRDefault="008E3BA7" w:rsidP="008E3BA7">
            <w:pPr>
              <w:jc w:val="both"/>
              <w:rPr>
                <w:sz w:val="20"/>
                <w:szCs w:val="20"/>
                <w:lang w:val="ro-RO"/>
              </w:rPr>
            </w:pPr>
          </w:p>
        </w:tc>
        <w:tc>
          <w:tcPr>
            <w:tcW w:w="992" w:type="dxa"/>
          </w:tcPr>
          <w:p w14:paraId="16CFC6F5" w14:textId="77777777" w:rsidR="008E3BA7" w:rsidRPr="00BF7956" w:rsidRDefault="008E3BA7" w:rsidP="008E3BA7">
            <w:pPr>
              <w:jc w:val="both"/>
              <w:rPr>
                <w:sz w:val="20"/>
                <w:szCs w:val="20"/>
                <w:lang w:val="ro-RO"/>
              </w:rPr>
            </w:pPr>
          </w:p>
        </w:tc>
      </w:tr>
      <w:tr w:rsidR="008E3BA7" w:rsidRPr="00BF7956" w14:paraId="17823EC0"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7A656FEC" w14:textId="77777777" w:rsidTr="00612E64">
              <w:tc>
                <w:tcPr>
                  <w:tcW w:w="718" w:type="dxa"/>
                </w:tcPr>
                <w:p w14:paraId="029DDCDB" w14:textId="2F7888FA"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25</w:t>
                  </w:r>
                  <w:r w:rsidRPr="00BF7956">
                    <w:rPr>
                      <w:color w:val="000000"/>
                      <w:sz w:val="20"/>
                      <w:szCs w:val="20"/>
                    </w:rPr>
                    <w:t>1</w:t>
                  </w:r>
                </w:p>
              </w:tc>
              <w:tc>
                <w:tcPr>
                  <w:tcW w:w="3674" w:type="dxa"/>
                </w:tcPr>
                <w:p w14:paraId="41B302E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1.2.5</w:t>
                  </w:r>
                  <w:r w:rsidRPr="00BF7956">
                    <w:rPr>
                      <w:color w:val="000000"/>
                      <w:sz w:val="20"/>
                      <w:szCs w:val="20"/>
                    </w:rPr>
                    <w:t xml:space="preserve"> </w:t>
                  </w:r>
                  <w:r w:rsidRPr="00BF7956">
                    <w:rPr>
                      <w:b/>
                      <w:bCs/>
                      <w:color w:val="000000"/>
                      <w:sz w:val="20"/>
                      <w:szCs w:val="20"/>
                    </w:rPr>
                    <w:t xml:space="preserve">Alte active </w:t>
                  </w:r>
                </w:p>
                <w:p w14:paraId="7D2E75AD" w14:textId="3DFA00DA"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 care sunt garantate cu active care nu sunt raportate la punctul 1.2.1, 1.2.2, 1.2.3 sau 1.2.4.</w:t>
                  </w:r>
                </w:p>
              </w:tc>
            </w:tr>
          </w:tbl>
          <w:p w14:paraId="671959DA"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64476F75" w14:textId="77777777" w:rsidTr="00CE67CE">
              <w:tc>
                <w:tcPr>
                  <w:tcW w:w="718" w:type="dxa"/>
                </w:tcPr>
                <w:p w14:paraId="426AC1F9" w14:textId="77777777"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250</w:t>
                  </w:r>
                </w:p>
              </w:tc>
              <w:tc>
                <w:tcPr>
                  <w:tcW w:w="3674" w:type="dxa"/>
                </w:tcPr>
                <w:p w14:paraId="3E83E5E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1.2.5</w:t>
                  </w:r>
                  <w:r w:rsidRPr="00BF7956">
                    <w:rPr>
                      <w:color w:val="000000"/>
                      <w:sz w:val="20"/>
                      <w:szCs w:val="20"/>
                    </w:rPr>
                    <w:t xml:space="preserve"> </w:t>
                  </w:r>
                  <w:r w:rsidRPr="00BF7956">
                    <w:rPr>
                      <w:b/>
                      <w:bCs/>
                      <w:color w:val="000000"/>
                      <w:sz w:val="20"/>
                      <w:szCs w:val="20"/>
                    </w:rPr>
                    <w:t xml:space="preserve">Alte active </w:t>
                  </w:r>
                </w:p>
                <w:p w14:paraId="14A04A19" w14:textId="402F90A1" w:rsidR="008E3BA7" w:rsidRPr="00BF7956" w:rsidRDefault="00AD6B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 garantate cu active care nu sunt raportate la punct</w:t>
                  </w:r>
                  <w:r w:rsidR="00BB2562">
                    <w:rPr>
                      <w:color w:val="000000"/>
                      <w:sz w:val="20"/>
                      <w:szCs w:val="20"/>
                    </w:rPr>
                    <w:t>ele</w:t>
                  </w:r>
                  <w:r w:rsidRPr="00BF7956">
                    <w:rPr>
                      <w:color w:val="000000"/>
                      <w:sz w:val="20"/>
                      <w:szCs w:val="20"/>
                    </w:rPr>
                    <w:t xml:space="preserve"> 1.2.1, 1.2.2, 1.2.3 sau 1.2.4.</w:t>
                  </w:r>
                </w:p>
              </w:tc>
            </w:tr>
          </w:tbl>
          <w:p w14:paraId="5298F4E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0F94E83" w14:textId="67E2F1A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745E1B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EEFFE92" w14:textId="77777777" w:rsidR="008E3BA7" w:rsidRPr="00BF7956" w:rsidRDefault="008E3BA7" w:rsidP="008E3BA7">
            <w:pPr>
              <w:jc w:val="both"/>
              <w:rPr>
                <w:sz w:val="20"/>
                <w:szCs w:val="20"/>
                <w:lang w:val="ro-RO"/>
              </w:rPr>
            </w:pPr>
          </w:p>
        </w:tc>
        <w:tc>
          <w:tcPr>
            <w:tcW w:w="992" w:type="dxa"/>
          </w:tcPr>
          <w:p w14:paraId="7805F483" w14:textId="77777777" w:rsidR="008E3BA7" w:rsidRPr="00BF7956" w:rsidRDefault="008E3BA7" w:rsidP="008E3BA7">
            <w:pPr>
              <w:jc w:val="both"/>
              <w:rPr>
                <w:sz w:val="20"/>
                <w:szCs w:val="20"/>
                <w:lang w:val="ro-RO"/>
              </w:rPr>
            </w:pPr>
          </w:p>
        </w:tc>
      </w:tr>
      <w:tr w:rsidR="00AD6BBC" w:rsidRPr="00BF7956" w14:paraId="1D4AF42A"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AD6BBC" w:rsidRPr="002C43F1" w14:paraId="60DF541E" w14:textId="77777777" w:rsidTr="00472775">
              <w:tc>
                <w:tcPr>
                  <w:tcW w:w="718" w:type="dxa"/>
                </w:tcPr>
                <w:p w14:paraId="5852011D" w14:textId="08971D18"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color w:val="000000"/>
                      <w:sz w:val="20"/>
                      <w:szCs w:val="20"/>
                    </w:rPr>
                    <w:t>0252</w:t>
                  </w:r>
                </w:p>
              </w:tc>
              <w:tc>
                <w:tcPr>
                  <w:tcW w:w="3674" w:type="dxa"/>
                </w:tcPr>
                <w:p w14:paraId="234D205D" w14:textId="0CA8C6C6"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1.2a Datorii rezultate din tranzacţii de creditare garantată și operaţiuni ajustate la condiţiile pieţei de capital garantate cu (contrapartea este o bancă centrală):</w:t>
                  </w:r>
                  <w:r w:rsidRPr="00BF7956">
                    <w:rPr>
                      <w:color w:val="000000"/>
                      <w:sz w:val="20"/>
                      <w:szCs w:val="20"/>
                    </w:rPr>
                    <w:t xml:space="preserve"> cuantumul total al tuturor ieșirilor de numerar generate de tranzacţii de creditare garantată și de operaţiuni ajustate la condiţiile pieţei de capital, în cazul în care contrapartea este o bancă centrală, astfel cum sunt definite la articolul 192 din Regulamentul (UE) nr. 575/2013. Notă: la acest punct se raportează doar fluxurile de numerar, iar fluxurile de titluri de valoare generate de tranzacţii de creditare garantată și de operaţiuni ajustate la condiţiile pieţei de capital se raportează în cadrul secţiunii „Capacitatea de compensare”.</w:t>
                  </w:r>
                </w:p>
              </w:tc>
            </w:tr>
          </w:tbl>
          <w:p w14:paraId="40430DCF" w14:textId="77777777" w:rsidR="00AD6BBC" w:rsidRPr="00BF7956" w:rsidRDefault="00AD6BBC" w:rsidP="008E3BA7">
            <w:pPr>
              <w:pStyle w:val="CM4"/>
              <w:spacing w:before="60" w:after="60"/>
              <w:rPr>
                <w:color w:val="000000"/>
                <w:sz w:val="20"/>
                <w:szCs w:val="20"/>
                <w:lang w:val="en-US"/>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AD6BBC" w:rsidRPr="002C43F1" w14:paraId="56A72F03" w14:textId="77777777" w:rsidTr="00472775">
              <w:tc>
                <w:tcPr>
                  <w:tcW w:w="718" w:type="dxa"/>
                </w:tcPr>
                <w:p w14:paraId="7814C9DA" w14:textId="77777777"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color w:val="000000"/>
                      <w:sz w:val="20"/>
                      <w:szCs w:val="20"/>
                    </w:rPr>
                    <w:t>0252</w:t>
                  </w:r>
                </w:p>
              </w:tc>
              <w:tc>
                <w:tcPr>
                  <w:tcW w:w="3674" w:type="dxa"/>
                </w:tcPr>
                <w:p w14:paraId="613D3398" w14:textId="77777777" w:rsidR="00AD6BBC" w:rsidRPr="00BF7956" w:rsidRDefault="00AD6BBC" w:rsidP="00AD6BBC">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1.2a Datorii rezultate din tranzacţii de creditare garantată și operaţiuni ajustate la condiţiile pieţei de capital garantate cu (contrapartea este o bancă centrală): </w:t>
                  </w:r>
                </w:p>
                <w:p w14:paraId="03F1334D" w14:textId="77777777" w:rsidR="00AD6BBC" w:rsidRPr="00BF7956" w:rsidRDefault="00AD6BBC" w:rsidP="00AD6BBC">
                  <w:pPr>
                    <w:pStyle w:val="CM4"/>
                    <w:framePr w:hSpace="180" w:wrap="around" w:vAnchor="text" w:hAnchor="margin" w:y="137"/>
                    <w:spacing w:before="60" w:after="60"/>
                    <w:rPr>
                      <w:color w:val="000000"/>
                      <w:sz w:val="20"/>
                      <w:szCs w:val="20"/>
                    </w:rPr>
                  </w:pPr>
                  <w:r w:rsidRPr="00BF7956">
                    <w:rPr>
                      <w:color w:val="000000"/>
                      <w:sz w:val="20"/>
                      <w:szCs w:val="20"/>
                    </w:rPr>
                    <w:t xml:space="preserve">Cuantumul total al tuturor ieșirilor de numerar generate de tranzacţii de creditare garantată și de operaţiuni ajustate la condiţiile pieţei de capital, în cazul în care contrapartea este o bancă centrală, astfel cum sunt definite la punctul 3 din Regulamentul nr. 112/2018 cu privire la tehnicile de diminuare a riscului de credit utilizate de bănci. </w:t>
                  </w:r>
                </w:p>
                <w:p w14:paraId="50909B6B" w14:textId="5749C5B9"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color w:val="000000"/>
                      <w:sz w:val="20"/>
                      <w:szCs w:val="20"/>
                    </w:rPr>
                    <w:t>Notă: la acest punct se raportează doar fluxurile de numerar, iar fluxurile de titluri de valoare generate de tranzacţii de creditare garantată și de operaţiuni ajustate la condiţiile pieţei de capital se raportează în cadrul secţiunii „Capacitatea de compensare”.</w:t>
                  </w:r>
                </w:p>
              </w:tc>
            </w:tr>
          </w:tbl>
          <w:p w14:paraId="677595B7" w14:textId="77777777" w:rsidR="00AD6BBC" w:rsidRPr="00BF7956" w:rsidRDefault="00AD6BBC" w:rsidP="008E3BA7">
            <w:pPr>
              <w:pStyle w:val="CM4"/>
              <w:spacing w:before="60" w:after="60"/>
              <w:rPr>
                <w:color w:val="000000"/>
                <w:sz w:val="20"/>
                <w:szCs w:val="20"/>
                <w:lang w:val="en-US"/>
              </w:rPr>
            </w:pPr>
          </w:p>
        </w:tc>
        <w:tc>
          <w:tcPr>
            <w:tcW w:w="1418" w:type="dxa"/>
          </w:tcPr>
          <w:p w14:paraId="24FD6D51" w14:textId="4B121A42" w:rsidR="00AD6BBC" w:rsidRPr="00BF7956" w:rsidRDefault="00BF7956" w:rsidP="008E3BA7">
            <w:pPr>
              <w:rPr>
                <w:bCs/>
                <w:sz w:val="20"/>
                <w:szCs w:val="20"/>
                <w:lang w:val="ro-RO"/>
              </w:rPr>
            </w:pPr>
            <w:r w:rsidRPr="00BF7956">
              <w:rPr>
                <w:bCs/>
                <w:sz w:val="20"/>
                <w:szCs w:val="20"/>
                <w:lang w:val="ro-RO"/>
              </w:rPr>
              <w:t>Compatibil</w:t>
            </w:r>
          </w:p>
        </w:tc>
        <w:tc>
          <w:tcPr>
            <w:tcW w:w="2223" w:type="dxa"/>
          </w:tcPr>
          <w:p w14:paraId="29577C1E" w14:textId="77777777" w:rsidR="00AD6BBC" w:rsidRPr="00BF7956" w:rsidRDefault="00AD6BBC" w:rsidP="008E3BA7">
            <w:pPr>
              <w:jc w:val="both"/>
              <w:rPr>
                <w:sz w:val="20"/>
                <w:szCs w:val="20"/>
                <w:lang w:val="ro-RO"/>
              </w:rPr>
            </w:pPr>
          </w:p>
        </w:tc>
        <w:tc>
          <w:tcPr>
            <w:tcW w:w="1134" w:type="dxa"/>
            <w:tcBorders>
              <w:top w:val="single" w:sz="4" w:space="0" w:color="auto"/>
              <w:bottom w:val="single" w:sz="4" w:space="0" w:color="auto"/>
            </w:tcBorders>
          </w:tcPr>
          <w:p w14:paraId="1C414D83" w14:textId="77777777" w:rsidR="00AD6BBC" w:rsidRPr="00BF7956" w:rsidRDefault="00AD6BBC" w:rsidP="008E3BA7">
            <w:pPr>
              <w:jc w:val="both"/>
              <w:rPr>
                <w:sz w:val="20"/>
                <w:szCs w:val="20"/>
                <w:lang w:val="ro-RO"/>
              </w:rPr>
            </w:pPr>
          </w:p>
        </w:tc>
        <w:tc>
          <w:tcPr>
            <w:tcW w:w="992" w:type="dxa"/>
          </w:tcPr>
          <w:p w14:paraId="1047606D" w14:textId="77777777" w:rsidR="00AD6BBC" w:rsidRPr="00BF7956" w:rsidRDefault="00AD6BBC" w:rsidP="008E3BA7">
            <w:pPr>
              <w:jc w:val="both"/>
              <w:rPr>
                <w:sz w:val="20"/>
                <w:szCs w:val="20"/>
                <w:lang w:val="ro-RO"/>
              </w:rPr>
            </w:pPr>
          </w:p>
        </w:tc>
      </w:tr>
      <w:tr w:rsidR="00AD6BBC" w:rsidRPr="00BF7956" w14:paraId="26F3ECE1"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AD6BBC" w:rsidRPr="002C43F1" w14:paraId="5B766AA6" w14:textId="77777777" w:rsidTr="00472775">
              <w:tc>
                <w:tcPr>
                  <w:tcW w:w="718" w:type="dxa"/>
                </w:tcPr>
                <w:p w14:paraId="6255EF71" w14:textId="266BEA5E"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color w:val="000000"/>
                      <w:sz w:val="20"/>
                      <w:szCs w:val="20"/>
                    </w:rPr>
                    <w:lastRenderedPageBreak/>
                    <w:t>025</w:t>
                  </w:r>
                  <w:r w:rsidR="00745CB0" w:rsidRPr="00BF7956">
                    <w:rPr>
                      <w:color w:val="000000"/>
                      <w:sz w:val="20"/>
                      <w:szCs w:val="20"/>
                    </w:rPr>
                    <w:t>3</w:t>
                  </w:r>
                </w:p>
              </w:tc>
              <w:tc>
                <w:tcPr>
                  <w:tcW w:w="3674" w:type="dxa"/>
                </w:tcPr>
                <w:p w14:paraId="15CFAEED" w14:textId="1C0EE45E" w:rsidR="00AD6BBC" w:rsidRPr="00BF7956" w:rsidRDefault="00745CB0" w:rsidP="00745CB0">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1.2a.1</w:t>
                  </w:r>
                  <w:r w:rsidRPr="00BF7956">
                    <w:rPr>
                      <w:color w:val="000000"/>
                      <w:sz w:val="20"/>
                      <w:szCs w:val="20"/>
                    </w:rPr>
                    <w:t xml:space="preserve"> </w:t>
                  </w:r>
                  <w:r w:rsidRPr="00BF7956">
                    <w:rPr>
                      <w:b/>
                      <w:bCs/>
                      <w:color w:val="000000"/>
                      <w:sz w:val="20"/>
                      <w:szCs w:val="20"/>
                    </w:rPr>
                    <w:t xml:space="preserve">Active tranzacţionabile de nivel 1 </w:t>
                  </w:r>
                  <w:r w:rsidRPr="00BF7956">
                    <w:rPr>
                      <w:color w:val="000000"/>
                      <w:sz w:val="20"/>
                      <w:szCs w:val="20"/>
                    </w:rPr>
                    <w:t>Cuantumul ieșirilor de numerar raportate la punctul 1X care sunt garantate cu active tranzacţionabile care ar îndeplini cerinţele prevăzute la articolele 7, 8 și 10 din Regulamentul delegat (UE) 2015/61 dacă nu ar garanta respectiva tranzacţie. Acţiunile sau unităţile deţinute în OPC-uri în conformitate cu articolul 15 din Regulamentul delegat (UE) 2015/61 care se califică drept active de nivel 1 se raportează în subcategoriile de mai jos corespunzătoare activelor-suport ale acestora.</w:t>
                  </w:r>
                </w:p>
              </w:tc>
            </w:tr>
          </w:tbl>
          <w:p w14:paraId="6971560B" w14:textId="77777777" w:rsidR="00AD6BBC" w:rsidRPr="00BF7956" w:rsidRDefault="00AD6BBC"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AD6BBC" w:rsidRPr="002C43F1" w14:paraId="58A0FF90" w14:textId="77777777" w:rsidTr="00472775">
              <w:tc>
                <w:tcPr>
                  <w:tcW w:w="718" w:type="dxa"/>
                </w:tcPr>
                <w:p w14:paraId="68E6571E" w14:textId="47CD28BE"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color w:val="000000"/>
                      <w:sz w:val="20"/>
                      <w:szCs w:val="20"/>
                    </w:rPr>
                    <w:t>0253</w:t>
                  </w:r>
                </w:p>
              </w:tc>
              <w:tc>
                <w:tcPr>
                  <w:tcW w:w="3674" w:type="dxa"/>
                </w:tcPr>
                <w:p w14:paraId="13FC1FCD" w14:textId="77777777" w:rsidR="00AD6BBC" w:rsidRPr="00BF7956" w:rsidRDefault="00AD6BBC" w:rsidP="00AD6BBC">
                  <w:pPr>
                    <w:pStyle w:val="CM4"/>
                    <w:framePr w:hSpace="180" w:wrap="around" w:vAnchor="text" w:hAnchor="margin" w:y="137"/>
                    <w:spacing w:before="60" w:after="60"/>
                    <w:rPr>
                      <w:b/>
                      <w:bCs/>
                      <w:color w:val="000000"/>
                      <w:sz w:val="20"/>
                      <w:szCs w:val="20"/>
                    </w:rPr>
                  </w:pPr>
                  <w:r w:rsidRPr="00BF7956">
                    <w:rPr>
                      <w:b/>
                      <w:bCs/>
                      <w:color w:val="000000"/>
                      <w:sz w:val="20"/>
                      <w:szCs w:val="20"/>
                    </w:rPr>
                    <w:t>1.2a.1 Active tranzacţionabile de nivel 1</w:t>
                  </w:r>
                </w:p>
                <w:p w14:paraId="4A5CB0F9" w14:textId="407769FC" w:rsidR="00AD6BBC" w:rsidRPr="00BF7956" w:rsidRDefault="00AD6BBC" w:rsidP="00AD6BBC">
                  <w:pPr>
                    <w:pStyle w:val="CM4"/>
                    <w:framePr w:hSpace="180" w:wrap="around" w:vAnchor="text" w:hAnchor="margin" w:y="137"/>
                    <w:spacing w:before="60" w:after="60"/>
                    <w:rPr>
                      <w:color w:val="000000"/>
                      <w:sz w:val="20"/>
                      <w:szCs w:val="20"/>
                    </w:rPr>
                  </w:pPr>
                  <w:r w:rsidRPr="00BF7956">
                    <w:rPr>
                      <w:color w:val="000000"/>
                      <w:sz w:val="20"/>
                      <w:szCs w:val="20"/>
                    </w:rPr>
                    <w:t xml:space="preserve">Cuantumul ieșirilor de numerar raportate la punctul 1X garantate cu  active tranzacţionabile care ar îndeplini cerinţele prevăzute la punctele 21-29, punctul 31 și 32 din Regulamentul nr.44/2020 privind cerinţele de acoperire a necesarului de lichiditate pentru bănci,  dacă nu ar garanta respectiva tranzacţie. </w:t>
                  </w:r>
                </w:p>
                <w:p w14:paraId="67A8FA8E" w14:textId="60FE0E75" w:rsidR="00AD6BBC" w:rsidRPr="00BF7956" w:rsidRDefault="00AD6BBC" w:rsidP="00AD6BBC">
                  <w:pPr>
                    <w:pStyle w:val="CM4"/>
                    <w:framePr w:hSpace="180" w:wrap="around" w:vAnchor="text" w:hAnchor="margin" w:y="137"/>
                    <w:spacing w:before="60" w:after="60"/>
                    <w:rPr>
                      <w:i/>
                      <w:iCs/>
                      <w:color w:val="000000"/>
                      <w:sz w:val="20"/>
                      <w:szCs w:val="20"/>
                      <w:lang w:val="ro-RO"/>
                    </w:rPr>
                  </w:pPr>
                  <w:r w:rsidRPr="00BF7956">
                    <w:rPr>
                      <w:color w:val="000000"/>
                      <w:sz w:val="20"/>
                      <w:szCs w:val="20"/>
                    </w:rPr>
                    <w:t>Acţiunile sau unităţile deţinute în OPC-uri în conformitate cu punctele 37-41 din Regulamentul nr.44/2020 privind</w:t>
                  </w:r>
                  <w:r w:rsidRPr="00BF7956">
                    <w:rPr>
                      <w:b/>
                      <w:bCs/>
                      <w:color w:val="000000"/>
                      <w:sz w:val="20"/>
                      <w:szCs w:val="20"/>
                    </w:rPr>
                    <w:t xml:space="preserve"> </w:t>
                  </w:r>
                  <w:r w:rsidRPr="00BF7956">
                    <w:rPr>
                      <w:color w:val="000000"/>
                      <w:sz w:val="20"/>
                      <w:szCs w:val="20"/>
                    </w:rPr>
                    <w:t>cerinţele de acoperire a necesarului de lichiditate</w:t>
                  </w:r>
                  <w:r w:rsidRPr="00BF7956">
                    <w:rPr>
                      <w:b/>
                      <w:bCs/>
                      <w:color w:val="000000"/>
                      <w:sz w:val="20"/>
                      <w:szCs w:val="20"/>
                    </w:rPr>
                    <w:t xml:space="preserve"> </w:t>
                  </w:r>
                  <w:r w:rsidRPr="00BF7956">
                    <w:rPr>
                      <w:color w:val="000000"/>
                      <w:sz w:val="20"/>
                      <w:szCs w:val="20"/>
                    </w:rPr>
                    <w:t>pentru bănci care se califică drept active de nivel 1 se raportează în subcategoriile de mai jos corespunzătoare activelor-suport ale acestora</w:t>
                  </w:r>
                  <w:r w:rsidRPr="00BF7956">
                    <w:rPr>
                      <w:b/>
                      <w:bCs/>
                      <w:color w:val="000000"/>
                      <w:sz w:val="20"/>
                      <w:szCs w:val="20"/>
                    </w:rPr>
                    <w:t>.</w:t>
                  </w:r>
                </w:p>
              </w:tc>
            </w:tr>
          </w:tbl>
          <w:p w14:paraId="3BFECDF2" w14:textId="77777777" w:rsidR="00AD6BBC" w:rsidRPr="00BF7956" w:rsidRDefault="00AD6BBC" w:rsidP="008E3BA7">
            <w:pPr>
              <w:pStyle w:val="CM4"/>
              <w:spacing w:before="60" w:after="60"/>
              <w:rPr>
                <w:color w:val="000000"/>
                <w:sz w:val="20"/>
                <w:szCs w:val="20"/>
              </w:rPr>
            </w:pPr>
          </w:p>
        </w:tc>
        <w:tc>
          <w:tcPr>
            <w:tcW w:w="1418" w:type="dxa"/>
          </w:tcPr>
          <w:p w14:paraId="392F909C" w14:textId="7CF1A4B5" w:rsidR="00AD6BBC" w:rsidRPr="00BF7956" w:rsidRDefault="00BF7956" w:rsidP="008E3BA7">
            <w:pPr>
              <w:rPr>
                <w:bCs/>
                <w:sz w:val="20"/>
                <w:szCs w:val="20"/>
                <w:lang w:val="ro-RO"/>
              </w:rPr>
            </w:pPr>
            <w:r w:rsidRPr="00BF7956">
              <w:rPr>
                <w:bCs/>
                <w:sz w:val="20"/>
                <w:szCs w:val="20"/>
                <w:lang w:val="ro-RO"/>
              </w:rPr>
              <w:t>Compatibil</w:t>
            </w:r>
          </w:p>
        </w:tc>
        <w:tc>
          <w:tcPr>
            <w:tcW w:w="2223" w:type="dxa"/>
          </w:tcPr>
          <w:p w14:paraId="70CB8663" w14:textId="77777777" w:rsidR="00AD6BBC" w:rsidRPr="00BF7956" w:rsidRDefault="00AD6BBC" w:rsidP="008E3BA7">
            <w:pPr>
              <w:jc w:val="both"/>
              <w:rPr>
                <w:sz w:val="20"/>
                <w:szCs w:val="20"/>
                <w:lang w:val="ro-RO"/>
              </w:rPr>
            </w:pPr>
          </w:p>
        </w:tc>
        <w:tc>
          <w:tcPr>
            <w:tcW w:w="1134" w:type="dxa"/>
            <w:tcBorders>
              <w:top w:val="single" w:sz="4" w:space="0" w:color="auto"/>
              <w:bottom w:val="single" w:sz="4" w:space="0" w:color="auto"/>
            </w:tcBorders>
          </w:tcPr>
          <w:p w14:paraId="4AEF7C60" w14:textId="77777777" w:rsidR="00AD6BBC" w:rsidRPr="00BF7956" w:rsidRDefault="00AD6BBC" w:rsidP="008E3BA7">
            <w:pPr>
              <w:jc w:val="both"/>
              <w:rPr>
                <w:sz w:val="20"/>
                <w:szCs w:val="20"/>
                <w:lang w:val="ro-RO"/>
              </w:rPr>
            </w:pPr>
          </w:p>
        </w:tc>
        <w:tc>
          <w:tcPr>
            <w:tcW w:w="992" w:type="dxa"/>
          </w:tcPr>
          <w:p w14:paraId="608344D1" w14:textId="77777777" w:rsidR="00AD6BBC" w:rsidRPr="00BF7956" w:rsidRDefault="00AD6BBC" w:rsidP="008E3BA7">
            <w:pPr>
              <w:jc w:val="both"/>
              <w:rPr>
                <w:sz w:val="20"/>
                <w:szCs w:val="20"/>
                <w:lang w:val="ro-RO"/>
              </w:rPr>
            </w:pPr>
          </w:p>
        </w:tc>
      </w:tr>
      <w:tr w:rsidR="00AD6BBC" w:rsidRPr="00BF7956" w14:paraId="61B1707C"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055BA8" w:rsidRPr="002C43F1" w14:paraId="486182C9" w14:textId="77777777" w:rsidTr="00472775">
              <w:tc>
                <w:tcPr>
                  <w:tcW w:w="718" w:type="dxa"/>
                </w:tcPr>
                <w:p w14:paraId="1B07D1E0" w14:textId="21A6BAF9" w:rsidR="00055BA8" w:rsidRPr="00BF7956" w:rsidRDefault="00055BA8" w:rsidP="00055BA8">
                  <w:pPr>
                    <w:pStyle w:val="CM4"/>
                    <w:framePr w:hSpace="180" w:wrap="around" w:vAnchor="text" w:hAnchor="margin" w:y="137"/>
                    <w:spacing w:before="60" w:after="60"/>
                    <w:rPr>
                      <w:i/>
                      <w:iCs/>
                      <w:color w:val="000000"/>
                      <w:sz w:val="20"/>
                      <w:szCs w:val="20"/>
                      <w:lang w:val="ro-RO"/>
                    </w:rPr>
                  </w:pPr>
                  <w:r w:rsidRPr="00BF7956">
                    <w:rPr>
                      <w:color w:val="000000"/>
                      <w:sz w:val="20"/>
                      <w:szCs w:val="20"/>
                    </w:rPr>
                    <w:t>0254</w:t>
                  </w:r>
                </w:p>
              </w:tc>
              <w:tc>
                <w:tcPr>
                  <w:tcW w:w="3674" w:type="dxa"/>
                </w:tcPr>
                <w:p w14:paraId="160B3E4B" w14:textId="09EA702B" w:rsidR="00055BA8" w:rsidRPr="00BF7956" w:rsidRDefault="00055BA8" w:rsidP="00055BA8">
                  <w:pPr>
                    <w:pStyle w:val="CM4"/>
                    <w:framePr w:hSpace="180" w:wrap="around" w:vAnchor="text" w:hAnchor="margin" w:y="137"/>
                    <w:spacing w:before="60" w:after="60"/>
                    <w:rPr>
                      <w:i/>
                      <w:iCs/>
                      <w:color w:val="000000"/>
                      <w:sz w:val="20"/>
                      <w:szCs w:val="20"/>
                      <w:lang w:val="ro-RO"/>
                    </w:rPr>
                  </w:pPr>
                  <w:r w:rsidRPr="00BF7956">
                    <w:rPr>
                      <w:color w:val="000000"/>
                      <w:sz w:val="20"/>
                      <w:szCs w:val="20"/>
                    </w:rPr>
                    <w:t xml:space="preserve">1.2a.2 </w:t>
                  </w:r>
                  <w:r w:rsidRPr="00BF7956">
                    <w:rPr>
                      <w:b/>
                      <w:bCs/>
                      <w:color w:val="000000"/>
                      <w:sz w:val="20"/>
                      <w:szCs w:val="20"/>
                    </w:rPr>
                    <w:t xml:space="preserve">Active tranzacţionabile de nivel 2A </w:t>
                  </w:r>
                  <w:r w:rsidRPr="00BF7956">
                    <w:rPr>
                      <w:color w:val="000000"/>
                      <w:sz w:val="20"/>
                      <w:szCs w:val="20"/>
                    </w:rPr>
                    <w:t>Cuantumul ieșirilor de numerar raportate la punctul 1X care sunt garantate cu active tranzacţionabile care ar îndeplini cerinţele prevăzute la articolele 7, 8 și 11 din Regulamentul delegat (UE) 2015/61 dacă nu ar garanta respectiva tranzacţie. Acţiunile sau unităţile deţinute în OPC-uri în conformitate cu articolul 15 din Regulamentul delegat (UE) 2015/61 care se califică drept active de nivel 2A se raportează în subcategoriile de mai jos corespunzătoare activelor-suport ale acestora.</w:t>
                  </w:r>
                </w:p>
              </w:tc>
            </w:tr>
          </w:tbl>
          <w:p w14:paraId="35A8F2F2" w14:textId="77777777" w:rsidR="00AD6BBC" w:rsidRPr="00BF7956" w:rsidRDefault="00AD6BBC" w:rsidP="008E3BA7">
            <w:pPr>
              <w:pStyle w:val="CM4"/>
              <w:spacing w:before="60" w:after="60"/>
              <w:rPr>
                <w:color w:val="000000"/>
                <w:sz w:val="20"/>
                <w:szCs w:val="20"/>
                <w:lang w:val="en-US"/>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055BA8" w:rsidRPr="002C43F1" w14:paraId="613D4097" w14:textId="77777777" w:rsidTr="00472775">
              <w:tc>
                <w:tcPr>
                  <w:tcW w:w="718" w:type="dxa"/>
                </w:tcPr>
                <w:p w14:paraId="5022213A" w14:textId="77777777" w:rsidR="00055BA8" w:rsidRPr="00BF7956" w:rsidRDefault="00055BA8" w:rsidP="00055BA8">
                  <w:pPr>
                    <w:pStyle w:val="CM4"/>
                    <w:framePr w:hSpace="180" w:wrap="around" w:vAnchor="text" w:hAnchor="margin" w:y="137"/>
                    <w:spacing w:before="60" w:after="60"/>
                    <w:rPr>
                      <w:i/>
                      <w:iCs/>
                      <w:color w:val="000000"/>
                      <w:sz w:val="20"/>
                      <w:szCs w:val="20"/>
                      <w:lang w:val="ro-RO"/>
                    </w:rPr>
                  </w:pPr>
                  <w:r w:rsidRPr="00BF7956">
                    <w:rPr>
                      <w:color w:val="000000"/>
                      <w:sz w:val="20"/>
                      <w:szCs w:val="20"/>
                    </w:rPr>
                    <w:t>0254</w:t>
                  </w:r>
                </w:p>
              </w:tc>
              <w:tc>
                <w:tcPr>
                  <w:tcW w:w="3674" w:type="dxa"/>
                </w:tcPr>
                <w:p w14:paraId="7400F4D5" w14:textId="77777777" w:rsidR="00055BA8" w:rsidRPr="00BF7956" w:rsidRDefault="00055BA8" w:rsidP="00055BA8">
                  <w:pPr>
                    <w:pStyle w:val="CM4"/>
                    <w:framePr w:hSpace="180" w:wrap="around" w:vAnchor="text" w:hAnchor="margin" w:y="137"/>
                    <w:spacing w:before="60" w:after="60"/>
                    <w:rPr>
                      <w:b/>
                      <w:bCs/>
                      <w:color w:val="000000"/>
                      <w:sz w:val="20"/>
                      <w:szCs w:val="20"/>
                    </w:rPr>
                  </w:pPr>
                  <w:r w:rsidRPr="00BF7956">
                    <w:rPr>
                      <w:b/>
                      <w:bCs/>
                      <w:color w:val="000000"/>
                      <w:sz w:val="20"/>
                      <w:szCs w:val="20"/>
                    </w:rPr>
                    <w:t>1.2a.2 Active tranzacţionabile de nivel 2A</w:t>
                  </w:r>
                </w:p>
                <w:p w14:paraId="63BD914D" w14:textId="1EB10F04" w:rsidR="00055BA8" w:rsidRPr="00BF7956" w:rsidRDefault="00055BA8" w:rsidP="00055BA8">
                  <w:pPr>
                    <w:pStyle w:val="CM4"/>
                    <w:framePr w:hSpace="180" w:wrap="around" w:vAnchor="text" w:hAnchor="margin" w:y="137"/>
                    <w:spacing w:before="60" w:after="60"/>
                    <w:rPr>
                      <w:color w:val="000000"/>
                      <w:sz w:val="20"/>
                      <w:szCs w:val="20"/>
                    </w:rPr>
                  </w:pPr>
                  <w:r w:rsidRPr="00BF7956">
                    <w:rPr>
                      <w:color w:val="000000"/>
                      <w:sz w:val="20"/>
                      <w:szCs w:val="20"/>
                    </w:rPr>
                    <w:t>Cuantumul ieșirilor de numerar raportate la punctul 1X garantate cu active tranzacţionabile care ar îndeplini cerinţele la punctele 21-29, 33 și 34 din Regulamentul nr.44/2020 privind cerinţele de acoperire a necesarului de lichiditate pentru bănci,  dacă nu ar garanta respectiva tranzacţie.</w:t>
                  </w:r>
                </w:p>
                <w:p w14:paraId="48618BCE" w14:textId="7A7C35F9" w:rsidR="00055BA8" w:rsidRPr="00BF7956" w:rsidRDefault="00055BA8" w:rsidP="00055BA8">
                  <w:pPr>
                    <w:pStyle w:val="CM4"/>
                    <w:framePr w:hSpace="180" w:wrap="around" w:vAnchor="text" w:hAnchor="margin" w:y="137"/>
                    <w:spacing w:before="60" w:after="60"/>
                    <w:rPr>
                      <w:i/>
                      <w:iCs/>
                      <w:color w:val="000000"/>
                      <w:sz w:val="20"/>
                      <w:szCs w:val="20"/>
                      <w:lang w:val="ro-RO"/>
                    </w:rPr>
                  </w:pPr>
                  <w:r w:rsidRPr="00BF7956">
                    <w:rPr>
                      <w:color w:val="000000"/>
                      <w:sz w:val="20"/>
                      <w:szCs w:val="20"/>
                    </w:rPr>
                    <w:t>Acţiunile sau unităţile deţinute în OPC-uri în conformitate cu punctele 37-41 din Regulamentul nr.44/2020 privind cerinţele de acoperire a necesarului de lichiditate pentru bănci care se califică drept active de nivel 2A se  raportează în subcategoriile de mai jos corespunzătoare activelor-suport ale acestora.</w:t>
                  </w:r>
                </w:p>
              </w:tc>
            </w:tr>
          </w:tbl>
          <w:p w14:paraId="2D7CFA31" w14:textId="77777777" w:rsidR="00AD6BBC" w:rsidRPr="00BF7956" w:rsidRDefault="00AD6BBC" w:rsidP="008E3BA7">
            <w:pPr>
              <w:pStyle w:val="CM4"/>
              <w:spacing w:before="60" w:after="60"/>
              <w:rPr>
                <w:color w:val="000000"/>
                <w:sz w:val="20"/>
                <w:szCs w:val="20"/>
                <w:lang w:val="en-US"/>
              </w:rPr>
            </w:pPr>
          </w:p>
        </w:tc>
        <w:tc>
          <w:tcPr>
            <w:tcW w:w="1418" w:type="dxa"/>
          </w:tcPr>
          <w:p w14:paraId="2E970032" w14:textId="722A0FBB" w:rsidR="00AD6BBC" w:rsidRPr="00BF7956" w:rsidRDefault="00BF7956" w:rsidP="008E3BA7">
            <w:pPr>
              <w:rPr>
                <w:bCs/>
                <w:sz w:val="20"/>
                <w:szCs w:val="20"/>
                <w:lang w:val="ro-RO"/>
              </w:rPr>
            </w:pPr>
            <w:r w:rsidRPr="00BF7956">
              <w:rPr>
                <w:bCs/>
                <w:sz w:val="20"/>
                <w:szCs w:val="20"/>
                <w:lang w:val="ro-RO"/>
              </w:rPr>
              <w:t>Compatibil</w:t>
            </w:r>
          </w:p>
        </w:tc>
        <w:tc>
          <w:tcPr>
            <w:tcW w:w="2223" w:type="dxa"/>
          </w:tcPr>
          <w:p w14:paraId="71EF4232" w14:textId="77777777" w:rsidR="00AD6BBC" w:rsidRPr="00BF7956" w:rsidRDefault="00AD6BBC" w:rsidP="008E3BA7">
            <w:pPr>
              <w:jc w:val="both"/>
              <w:rPr>
                <w:sz w:val="20"/>
                <w:szCs w:val="20"/>
                <w:lang w:val="ro-RO"/>
              </w:rPr>
            </w:pPr>
          </w:p>
        </w:tc>
        <w:tc>
          <w:tcPr>
            <w:tcW w:w="1134" w:type="dxa"/>
            <w:tcBorders>
              <w:top w:val="single" w:sz="4" w:space="0" w:color="auto"/>
              <w:bottom w:val="single" w:sz="4" w:space="0" w:color="auto"/>
            </w:tcBorders>
          </w:tcPr>
          <w:p w14:paraId="02CB75AC" w14:textId="77777777" w:rsidR="00AD6BBC" w:rsidRPr="00BF7956" w:rsidRDefault="00AD6BBC" w:rsidP="008E3BA7">
            <w:pPr>
              <w:jc w:val="both"/>
              <w:rPr>
                <w:sz w:val="20"/>
                <w:szCs w:val="20"/>
                <w:lang w:val="ro-RO"/>
              </w:rPr>
            </w:pPr>
          </w:p>
        </w:tc>
        <w:tc>
          <w:tcPr>
            <w:tcW w:w="992" w:type="dxa"/>
          </w:tcPr>
          <w:p w14:paraId="526E048D" w14:textId="77777777" w:rsidR="00AD6BBC" w:rsidRPr="00BF7956" w:rsidRDefault="00AD6BBC" w:rsidP="008E3BA7">
            <w:pPr>
              <w:jc w:val="both"/>
              <w:rPr>
                <w:sz w:val="20"/>
                <w:szCs w:val="20"/>
                <w:lang w:val="ro-RO"/>
              </w:rPr>
            </w:pPr>
          </w:p>
        </w:tc>
      </w:tr>
      <w:tr w:rsidR="00AD6BBC" w:rsidRPr="00BF7956" w14:paraId="3A58A39F"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3C6910" w:rsidRPr="002C43F1" w14:paraId="5E4A58EE" w14:textId="77777777" w:rsidTr="00472775">
              <w:tc>
                <w:tcPr>
                  <w:tcW w:w="718" w:type="dxa"/>
                </w:tcPr>
                <w:p w14:paraId="6EB5DE1F" w14:textId="457EA6ED"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0255</w:t>
                  </w:r>
                </w:p>
              </w:tc>
              <w:tc>
                <w:tcPr>
                  <w:tcW w:w="3674" w:type="dxa"/>
                </w:tcPr>
                <w:p w14:paraId="52172DF1" w14:textId="5B8BC034"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b/>
                      <w:bCs/>
                      <w:color w:val="000000"/>
                      <w:sz w:val="20"/>
                      <w:szCs w:val="20"/>
                    </w:rPr>
                    <w:t>1.2a.3 Active tranzacţionabile de nivel 2B</w:t>
                  </w:r>
                  <w:r w:rsidRPr="00BF7956">
                    <w:rPr>
                      <w:color w:val="000000"/>
                      <w:sz w:val="20"/>
                      <w:szCs w:val="20"/>
                    </w:rPr>
                    <w:t xml:space="preserve"> Cuantumul ieșirilor de numerar raportate la punctul 1X care sunt garantate cu active tranzacţionabile care ar îndeplini cerinţele prevăzute la articolele 7, 8 și 12 sau 13 din Regulamentul delegat (UE) 2015/61 dacă nu ar garanta respectiva tranzacţie. Acţiunile sau unităţile deţinute în OPC-uri în conformitate cu articolul 15 din Regulamentul delegat (UE) 2015/61 care se califică drept active de nivel 2B se raportează în subcategoriile de mai jos corespunzătoare activelor-suport ale acestora.</w:t>
                  </w:r>
                </w:p>
              </w:tc>
            </w:tr>
          </w:tbl>
          <w:p w14:paraId="66C93907" w14:textId="77777777" w:rsidR="00AD6BBC" w:rsidRPr="00BF7956" w:rsidRDefault="00AD6BBC" w:rsidP="008E3BA7">
            <w:pPr>
              <w:pStyle w:val="CM4"/>
              <w:spacing w:before="60" w:after="60"/>
              <w:rPr>
                <w:color w:val="000000"/>
                <w:sz w:val="20"/>
                <w:szCs w:val="20"/>
                <w:lang w:val="en-US"/>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3C6910" w:rsidRPr="002C43F1" w14:paraId="2357FA35" w14:textId="77777777" w:rsidTr="00472775">
              <w:tc>
                <w:tcPr>
                  <w:tcW w:w="718" w:type="dxa"/>
                </w:tcPr>
                <w:p w14:paraId="757D4D30" w14:textId="77777777"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0255</w:t>
                  </w:r>
                </w:p>
              </w:tc>
              <w:tc>
                <w:tcPr>
                  <w:tcW w:w="3674" w:type="dxa"/>
                </w:tcPr>
                <w:p w14:paraId="0B16DE9F" w14:textId="77777777" w:rsidR="003C6910" w:rsidRPr="00BF7956" w:rsidRDefault="003C6910" w:rsidP="003C6910">
                  <w:pPr>
                    <w:pStyle w:val="CM4"/>
                    <w:framePr w:hSpace="180" w:wrap="around" w:vAnchor="text" w:hAnchor="margin" w:y="137"/>
                    <w:spacing w:before="60" w:after="60"/>
                    <w:rPr>
                      <w:b/>
                      <w:bCs/>
                      <w:color w:val="000000"/>
                      <w:sz w:val="20"/>
                      <w:szCs w:val="20"/>
                    </w:rPr>
                  </w:pPr>
                  <w:r w:rsidRPr="00BF7956">
                    <w:rPr>
                      <w:b/>
                      <w:bCs/>
                      <w:color w:val="000000"/>
                      <w:sz w:val="20"/>
                      <w:szCs w:val="20"/>
                    </w:rPr>
                    <w:t>1.2a.3 Active tranzacţionabile de nivel 2B</w:t>
                  </w:r>
                </w:p>
                <w:p w14:paraId="07673B2E" w14:textId="7BCC39FD" w:rsidR="003C6910" w:rsidRPr="00BF7956" w:rsidRDefault="003C6910" w:rsidP="003C6910">
                  <w:pPr>
                    <w:pStyle w:val="CM4"/>
                    <w:framePr w:hSpace="180" w:wrap="around" w:vAnchor="text" w:hAnchor="margin" w:y="137"/>
                    <w:spacing w:before="60" w:after="60"/>
                    <w:rPr>
                      <w:color w:val="000000"/>
                      <w:sz w:val="20"/>
                      <w:szCs w:val="20"/>
                    </w:rPr>
                  </w:pPr>
                  <w:r w:rsidRPr="00BF7956">
                    <w:rPr>
                      <w:color w:val="000000"/>
                      <w:sz w:val="20"/>
                      <w:szCs w:val="20"/>
                    </w:rPr>
                    <w:t xml:space="preserve">Cuantumul ieșirilor de numerar raportate la punctul 1X garantate cu  active tranzacţionabile care ar îndeplini cerinţele prevăzute la punctele 21-29, 35 și 36 din Regulamentul nr.44/2020 privind cerinţele de acoperire a necesarului de lichiditate pentru bănci dacă nu ar garanta respectiva  tranzacție. </w:t>
                  </w:r>
                </w:p>
                <w:p w14:paraId="63071FB3" w14:textId="1E55F6C8"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Acţiunile sau unitățile deținute în OPC-uri în conformitate cu punctele 37-41 din Regulamentul nr.44/2020 privind cerinţele de acoperire a necesarului de lichiditate pentru bănci care se califică drept active de nivel 2B se  raportează în subcategoriile de mai jos corespunzătoare activelor-suport ale acestora.</w:t>
                  </w:r>
                </w:p>
              </w:tc>
            </w:tr>
          </w:tbl>
          <w:p w14:paraId="509DA113" w14:textId="77777777" w:rsidR="00AD6BBC" w:rsidRPr="00BF7956" w:rsidRDefault="00AD6BBC" w:rsidP="008E3BA7">
            <w:pPr>
              <w:pStyle w:val="CM4"/>
              <w:spacing w:before="60" w:after="60"/>
              <w:rPr>
                <w:color w:val="000000"/>
                <w:sz w:val="20"/>
                <w:szCs w:val="20"/>
                <w:lang w:val="en-US"/>
              </w:rPr>
            </w:pPr>
          </w:p>
        </w:tc>
        <w:tc>
          <w:tcPr>
            <w:tcW w:w="1418" w:type="dxa"/>
          </w:tcPr>
          <w:p w14:paraId="4A394672" w14:textId="42ADF7AD" w:rsidR="00AD6BBC" w:rsidRPr="00BF7956" w:rsidRDefault="00BF7956" w:rsidP="008E3BA7">
            <w:pPr>
              <w:rPr>
                <w:bCs/>
                <w:sz w:val="20"/>
                <w:szCs w:val="20"/>
                <w:lang w:val="ro-RO"/>
              </w:rPr>
            </w:pPr>
            <w:r w:rsidRPr="00BF7956">
              <w:rPr>
                <w:bCs/>
                <w:sz w:val="20"/>
                <w:szCs w:val="20"/>
                <w:lang w:val="ro-RO"/>
              </w:rPr>
              <w:t xml:space="preserve">Compatibil </w:t>
            </w:r>
          </w:p>
        </w:tc>
        <w:tc>
          <w:tcPr>
            <w:tcW w:w="2223" w:type="dxa"/>
          </w:tcPr>
          <w:p w14:paraId="12505683" w14:textId="77777777" w:rsidR="00AD6BBC" w:rsidRPr="00BF7956" w:rsidRDefault="00AD6BBC" w:rsidP="008E3BA7">
            <w:pPr>
              <w:jc w:val="both"/>
              <w:rPr>
                <w:sz w:val="20"/>
                <w:szCs w:val="20"/>
                <w:lang w:val="ro-RO"/>
              </w:rPr>
            </w:pPr>
          </w:p>
        </w:tc>
        <w:tc>
          <w:tcPr>
            <w:tcW w:w="1134" w:type="dxa"/>
            <w:tcBorders>
              <w:top w:val="single" w:sz="4" w:space="0" w:color="auto"/>
              <w:bottom w:val="single" w:sz="4" w:space="0" w:color="auto"/>
            </w:tcBorders>
          </w:tcPr>
          <w:p w14:paraId="2F13A3ED" w14:textId="77777777" w:rsidR="00AD6BBC" w:rsidRPr="00BF7956" w:rsidRDefault="00AD6BBC" w:rsidP="008E3BA7">
            <w:pPr>
              <w:jc w:val="both"/>
              <w:rPr>
                <w:sz w:val="20"/>
                <w:szCs w:val="20"/>
                <w:lang w:val="ro-RO"/>
              </w:rPr>
            </w:pPr>
          </w:p>
        </w:tc>
        <w:tc>
          <w:tcPr>
            <w:tcW w:w="992" w:type="dxa"/>
          </w:tcPr>
          <w:p w14:paraId="1F8487C0" w14:textId="77777777" w:rsidR="00AD6BBC" w:rsidRPr="00BF7956" w:rsidRDefault="00AD6BBC" w:rsidP="008E3BA7">
            <w:pPr>
              <w:jc w:val="both"/>
              <w:rPr>
                <w:sz w:val="20"/>
                <w:szCs w:val="20"/>
                <w:lang w:val="ro-RO"/>
              </w:rPr>
            </w:pPr>
          </w:p>
        </w:tc>
      </w:tr>
      <w:tr w:rsidR="00AD6BBC" w:rsidRPr="00BF7956" w14:paraId="404F3982"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3C6910" w:rsidRPr="002C43F1" w14:paraId="5B8E187B" w14:textId="77777777" w:rsidTr="00472775">
              <w:tc>
                <w:tcPr>
                  <w:tcW w:w="718" w:type="dxa"/>
                </w:tcPr>
                <w:p w14:paraId="69E989A6" w14:textId="38773603"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0256</w:t>
                  </w:r>
                </w:p>
              </w:tc>
              <w:tc>
                <w:tcPr>
                  <w:tcW w:w="3674" w:type="dxa"/>
                </w:tcPr>
                <w:p w14:paraId="7BCEBC92" w14:textId="77777777" w:rsidR="003C6910" w:rsidRPr="00BF7956" w:rsidRDefault="003C6910" w:rsidP="003C6910">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1.2a.4 Alte active tranzacţionabile </w:t>
                  </w:r>
                </w:p>
                <w:p w14:paraId="3F528391" w14:textId="056E841B"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1.2a care sunt garantate cu active tranzacţionabile care nu sunt raportate la punctul 1.2a.1, 1.2a.2 sau 1.2a.3.</w:t>
                  </w:r>
                </w:p>
              </w:tc>
            </w:tr>
          </w:tbl>
          <w:p w14:paraId="2950A67A" w14:textId="77777777" w:rsidR="00AD6BBC" w:rsidRPr="00BF7956" w:rsidRDefault="00AD6BBC"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3C6910" w:rsidRPr="002C43F1" w14:paraId="7A07A1BF" w14:textId="77777777" w:rsidTr="00472775">
              <w:tc>
                <w:tcPr>
                  <w:tcW w:w="718" w:type="dxa"/>
                </w:tcPr>
                <w:p w14:paraId="754E1979" w14:textId="557A151C"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0256</w:t>
                  </w:r>
                </w:p>
              </w:tc>
              <w:tc>
                <w:tcPr>
                  <w:tcW w:w="3674" w:type="dxa"/>
                </w:tcPr>
                <w:p w14:paraId="1F952D61" w14:textId="77777777" w:rsidR="003C6910" w:rsidRPr="00BF7956" w:rsidRDefault="003C6910" w:rsidP="003C6910">
                  <w:pPr>
                    <w:pStyle w:val="CM4"/>
                    <w:framePr w:hSpace="180" w:wrap="around" w:vAnchor="text" w:hAnchor="margin" w:y="137"/>
                    <w:spacing w:before="60" w:after="60"/>
                    <w:rPr>
                      <w:b/>
                      <w:bCs/>
                      <w:color w:val="000000"/>
                      <w:sz w:val="20"/>
                      <w:szCs w:val="20"/>
                    </w:rPr>
                  </w:pPr>
                  <w:r w:rsidRPr="00BF7956">
                    <w:rPr>
                      <w:b/>
                      <w:bCs/>
                      <w:color w:val="000000"/>
                      <w:sz w:val="20"/>
                      <w:szCs w:val="20"/>
                    </w:rPr>
                    <w:t>1.2a.4 Alte active tranzacţionabile</w:t>
                  </w:r>
                </w:p>
                <w:p w14:paraId="50341B49" w14:textId="33F15B58"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1.2a garantate cu  active tranzacționabile care nu sunt raportate la punct</w:t>
                  </w:r>
                  <w:r w:rsidR="00BB2562">
                    <w:rPr>
                      <w:color w:val="000000"/>
                      <w:sz w:val="20"/>
                      <w:szCs w:val="20"/>
                    </w:rPr>
                    <w:t xml:space="preserve">ele </w:t>
                  </w:r>
                  <w:r w:rsidRPr="00BF7956">
                    <w:rPr>
                      <w:color w:val="000000"/>
                      <w:sz w:val="20"/>
                      <w:szCs w:val="20"/>
                    </w:rPr>
                    <w:t>1.2a.1, 1.2a.2 sau 1.2a.3.</w:t>
                  </w:r>
                </w:p>
              </w:tc>
            </w:tr>
          </w:tbl>
          <w:p w14:paraId="160F514B" w14:textId="77777777" w:rsidR="00AD6BBC" w:rsidRPr="00BF7956" w:rsidRDefault="00AD6BBC" w:rsidP="008E3BA7">
            <w:pPr>
              <w:pStyle w:val="CM4"/>
              <w:spacing w:before="60" w:after="60"/>
              <w:rPr>
                <w:color w:val="000000"/>
                <w:sz w:val="20"/>
                <w:szCs w:val="20"/>
              </w:rPr>
            </w:pPr>
          </w:p>
        </w:tc>
        <w:tc>
          <w:tcPr>
            <w:tcW w:w="1418" w:type="dxa"/>
          </w:tcPr>
          <w:p w14:paraId="64AE5BD9" w14:textId="1E747A63" w:rsidR="00AD6BBC" w:rsidRPr="00BF7956" w:rsidRDefault="00BF7956" w:rsidP="008E3BA7">
            <w:pPr>
              <w:rPr>
                <w:bCs/>
                <w:sz w:val="20"/>
                <w:szCs w:val="20"/>
                <w:lang w:val="ro-RO"/>
              </w:rPr>
            </w:pPr>
            <w:r w:rsidRPr="00BF7956">
              <w:rPr>
                <w:bCs/>
                <w:sz w:val="20"/>
                <w:szCs w:val="20"/>
                <w:lang w:val="ro-RO"/>
              </w:rPr>
              <w:t>Compatibil</w:t>
            </w:r>
          </w:p>
        </w:tc>
        <w:tc>
          <w:tcPr>
            <w:tcW w:w="2223" w:type="dxa"/>
          </w:tcPr>
          <w:p w14:paraId="1006771E" w14:textId="77777777" w:rsidR="00AD6BBC" w:rsidRPr="00BF7956" w:rsidRDefault="00AD6BBC" w:rsidP="008E3BA7">
            <w:pPr>
              <w:jc w:val="both"/>
              <w:rPr>
                <w:sz w:val="20"/>
                <w:szCs w:val="20"/>
                <w:lang w:val="ro-RO"/>
              </w:rPr>
            </w:pPr>
          </w:p>
        </w:tc>
        <w:tc>
          <w:tcPr>
            <w:tcW w:w="1134" w:type="dxa"/>
            <w:tcBorders>
              <w:top w:val="single" w:sz="4" w:space="0" w:color="auto"/>
              <w:bottom w:val="single" w:sz="4" w:space="0" w:color="auto"/>
            </w:tcBorders>
          </w:tcPr>
          <w:p w14:paraId="631460DC" w14:textId="77777777" w:rsidR="00AD6BBC" w:rsidRPr="00BF7956" w:rsidRDefault="00AD6BBC" w:rsidP="008E3BA7">
            <w:pPr>
              <w:jc w:val="both"/>
              <w:rPr>
                <w:sz w:val="20"/>
                <w:szCs w:val="20"/>
                <w:lang w:val="ro-RO"/>
              </w:rPr>
            </w:pPr>
          </w:p>
        </w:tc>
        <w:tc>
          <w:tcPr>
            <w:tcW w:w="992" w:type="dxa"/>
          </w:tcPr>
          <w:p w14:paraId="1FD4C326" w14:textId="77777777" w:rsidR="00AD6BBC" w:rsidRPr="00BF7956" w:rsidRDefault="00AD6BBC" w:rsidP="008E3BA7">
            <w:pPr>
              <w:jc w:val="both"/>
              <w:rPr>
                <w:sz w:val="20"/>
                <w:szCs w:val="20"/>
                <w:lang w:val="ro-RO"/>
              </w:rPr>
            </w:pPr>
          </w:p>
        </w:tc>
      </w:tr>
      <w:tr w:rsidR="00AD6BBC" w:rsidRPr="00BF7956" w14:paraId="4F8E268F"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3C6910" w:rsidRPr="002C43F1" w14:paraId="407DF2EA" w14:textId="77777777" w:rsidTr="00472775">
              <w:tc>
                <w:tcPr>
                  <w:tcW w:w="718" w:type="dxa"/>
                </w:tcPr>
                <w:p w14:paraId="4CECE31A" w14:textId="0003306E"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0257</w:t>
                  </w:r>
                </w:p>
              </w:tc>
              <w:tc>
                <w:tcPr>
                  <w:tcW w:w="3674" w:type="dxa"/>
                </w:tcPr>
                <w:p w14:paraId="3BCDE68D" w14:textId="77777777" w:rsidR="003C6910" w:rsidRPr="00BF7956" w:rsidRDefault="003C6910" w:rsidP="003C6910">
                  <w:pPr>
                    <w:pStyle w:val="CM4"/>
                    <w:framePr w:hSpace="180" w:wrap="around" w:vAnchor="text" w:hAnchor="margin" w:y="137"/>
                    <w:spacing w:before="60" w:after="60"/>
                    <w:rPr>
                      <w:b/>
                      <w:bCs/>
                      <w:color w:val="000000"/>
                      <w:sz w:val="20"/>
                      <w:szCs w:val="20"/>
                    </w:rPr>
                  </w:pPr>
                  <w:r w:rsidRPr="00BF7956">
                    <w:rPr>
                      <w:b/>
                      <w:bCs/>
                      <w:color w:val="000000"/>
                      <w:sz w:val="20"/>
                      <w:szCs w:val="20"/>
                    </w:rPr>
                    <w:t>1.2a.5 Alte active</w:t>
                  </w:r>
                </w:p>
                <w:p w14:paraId="142A940A" w14:textId="651275A7"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1X care sunt garantate cu  active care nu sunt raportate la punctul 1.2a.1, 1.2a.2, 1.2a.3 sau 1.2a.4.</w:t>
                  </w:r>
                </w:p>
              </w:tc>
            </w:tr>
          </w:tbl>
          <w:p w14:paraId="411998A6" w14:textId="77777777" w:rsidR="00AD6BBC" w:rsidRPr="00BF7956" w:rsidRDefault="00AD6BBC"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3C6910" w:rsidRPr="002C43F1" w14:paraId="6CB6C948" w14:textId="77777777" w:rsidTr="00472775">
              <w:tc>
                <w:tcPr>
                  <w:tcW w:w="718" w:type="dxa"/>
                </w:tcPr>
                <w:p w14:paraId="31C7F4AD" w14:textId="76B95C53"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0257</w:t>
                  </w:r>
                </w:p>
              </w:tc>
              <w:tc>
                <w:tcPr>
                  <w:tcW w:w="3674" w:type="dxa"/>
                </w:tcPr>
                <w:p w14:paraId="0BB9CD7F" w14:textId="77777777" w:rsidR="003C6910" w:rsidRPr="00BF7956" w:rsidRDefault="003C6910" w:rsidP="003C6910">
                  <w:pPr>
                    <w:pStyle w:val="CM4"/>
                    <w:framePr w:hSpace="180" w:wrap="around" w:vAnchor="text" w:hAnchor="margin" w:y="137"/>
                    <w:spacing w:before="60" w:after="60"/>
                    <w:rPr>
                      <w:b/>
                      <w:bCs/>
                      <w:color w:val="000000"/>
                      <w:sz w:val="20"/>
                      <w:szCs w:val="20"/>
                    </w:rPr>
                  </w:pPr>
                  <w:r w:rsidRPr="00BF7956">
                    <w:rPr>
                      <w:b/>
                      <w:bCs/>
                      <w:color w:val="000000"/>
                      <w:sz w:val="20"/>
                      <w:szCs w:val="20"/>
                    </w:rPr>
                    <w:t>1.2a.5 Alte active</w:t>
                  </w:r>
                </w:p>
                <w:p w14:paraId="773FFC16" w14:textId="566B81D9" w:rsidR="003C6910"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1X garantate cu  active care nu sunt raportate la punct</w:t>
                  </w:r>
                  <w:r w:rsidR="00BB2562">
                    <w:rPr>
                      <w:color w:val="000000"/>
                      <w:sz w:val="20"/>
                      <w:szCs w:val="20"/>
                    </w:rPr>
                    <w:t>ele</w:t>
                  </w:r>
                  <w:r w:rsidRPr="00BF7956">
                    <w:rPr>
                      <w:color w:val="000000"/>
                      <w:sz w:val="20"/>
                      <w:szCs w:val="20"/>
                    </w:rPr>
                    <w:t xml:space="preserve"> 1.2a.1, 1.2a.2, 1.2a.3 sau 1.2a.4.</w:t>
                  </w:r>
                </w:p>
              </w:tc>
            </w:tr>
          </w:tbl>
          <w:p w14:paraId="0E01DDEB" w14:textId="77777777" w:rsidR="00AD6BBC" w:rsidRPr="00BF7956" w:rsidRDefault="00AD6BBC" w:rsidP="008E3BA7">
            <w:pPr>
              <w:pStyle w:val="CM4"/>
              <w:spacing w:before="60" w:after="60"/>
              <w:rPr>
                <w:color w:val="000000"/>
                <w:sz w:val="20"/>
                <w:szCs w:val="20"/>
              </w:rPr>
            </w:pPr>
          </w:p>
        </w:tc>
        <w:tc>
          <w:tcPr>
            <w:tcW w:w="1418" w:type="dxa"/>
          </w:tcPr>
          <w:p w14:paraId="78AB2A07" w14:textId="266BD6E6" w:rsidR="00AD6BBC" w:rsidRPr="00BF7956" w:rsidRDefault="00BF7956" w:rsidP="008E3BA7">
            <w:pPr>
              <w:rPr>
                <w:bCs/>
                <w:sz w:val="20"/>
                <w:szCs w:val="20"/>
                <w:lang w:val="ro-RO"/>
              </w:rPr>
            </w:pPr>
            <w:r w:rsidRPr="00BF7956">
              <w:rPr>
                <w:bCs/>
                <w:sz w:val="20"/>
                <w:szCs w:val="20"/>
                <w:lang w:val="ro-RO"/>
              </w:rPr>
              <w:t>Compatibil</w:t>
            </w:r>
          </w:p>
        </w:tc>
        <w:tc>
          <w:tcPr>
            <w:tcW w:w="2223" w:type="dxa"/>
          </w:tcPr>
          <w:p w14:paraId="59784E72" w14:textId="77777777" w:rsidR="00AD6BBC" w:rsidRPr="00BF7956" w:rsidRDefault="00AD6BBC" w:rsidP="008E3BA7">
            <w:pPr>
              <w:jc w:val="both"/>
              <w:rPr>
                <w:sz w:val="20"/>
                <w:szCs w:val="20"/>
                <w:lang w:val="ro-RO"/>
              </w:rPr>
            </w:pPr>
          </w:p>
        </w:tc>
        <w:tc>
          <w:tcPr>
            <w:tcW w:w="1134" w:type="dxa"/>
            <w:tcBorders>
              <w:top w:val="single" w:sz="4" w:space="0" w:color="auto"/>
              <w:bottom w:val="single" w:sz="4" w:space="0" w:color="auto"/>
            </w:tcBorders>
          </w:tcPr>
          <w:p w14:paraId="776647A6" w14:textId="77777777" w:rsidR="00AD6BBC" w:rsidRPr="00BF7956" w:rsidRDefault="00AD6BBC" w:rsidP="008E3BA7">
            <w:pPr>
              <w:jc w:val="both"/>
              <w:rPr>
                <w:sz w:val="20"/>
                <w:szCs w:val="20"/>
                <w:lang w:val="ro-RO"/>
              </w:rPr>
            </w:pPr>
          </w:p>
        </w:tc>
        <w:tc>
          <w:tcPr>
            <w:tcW w:w="992" w:type="dxa"/>
          </w:tcPr>
          <w:p w14:paraId="29D79C26" w14:textId="77777777" w:rsidR="00AD6BBC" w:rsidRPr="00BF7956" w:rsidRDefault="00AD6BBC" w:rsidP="008E3BA7">
            <w:pPr>
              <w:jc w:val="both"/>
              <w:rPr>
                <w:sz w:val="20"/>
                <w:szCs w:val="20"/>
                <w:lang w:val="ro-RO"/>
              </w:rPr>
            </w:pPr>
          </w:p>
        </w:tc>
      </w:tr>
      <w:tr w:rsidR="008E3BA7" w:rsidRPr="00BF7956" w14:paraId="33D54E8A" w14:textId="77777777" w:rsidTr="00C25F84">
        <w:tc>
          <w:tcPr>
            <w:tcW w:w="4576" w:type="dxa"/>
          </w:tcPr>
          <w:tbl>
            <w:tblPr>
              <w:tblStyle w:val="TableGrid"/>
              <w:tblW w:w="4390" w:type="dxa"/>
              <w:tblLayout w:type="fixed"/>
              <w:tblLook w:val="04A0" w:firstRow="1" w:lastRow="0" w:firstColumn="1" w:lastColumn="0" w:noHBand="0" w:noVBand="1"/>
            </w:tblPr>
            <w:tblGrid>
              <w:gridCol w:w="718"/>
              <w:gridCol w:w="3672"/>
            </w:tblGrid>
            <w:tr w:rsidR="008E3BA7" w:rsidRPr="002C43F1" w14:paraId="4807A51E" w14:textId="77777777" w:rsidTr="00612E64">
              <w:tc>
                <w:tcPr>
                  <w:tcW w:w="718" w:type="dxa"/>
                </w:tcPr>
                <w:p w14:paraId="2083AE3E" w14:textId="00DEAEBE" w:rsidR="008E3BA7" w:rsidRPr="00BF7956" w:rsidRDefault="003C6910"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260</w:t>
                  </w:r>
                </w:p>
              </w:tc>
              <w:tc>
                <w:tcPr>
                  <w:tcW w:w="3672" w:type="dxa"/>
                </w:tcPr>
                <w:p w14:paraId="4A9ED1A7" w14:textId="77777777" w:rsidR="003C6910" w:rsidRPr="00BF7956" w:rsidRDefault="003C6910"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1.3 Datorii neraportate la punctul 1.2, rezultate din depozitele primite (exceptând depozitele primite ca garanţii reale) </w:t>
                  </w:r>
                </w:p>
                <w:p w14:paraId="76C03D96" w14:textId="1A264E84" w:rsidR="008E3BA7" w:rsidRPr="00BF7956" w:rsidRDefault="003C6910"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Ieșirile de numerar rezultate din toate depozitele primite, cu excepţia ieșirilor raportate la punctul 1.2 și a depozitelor primite ca garanţii reale. Ieșirile de numerar generate de tranzacţii cu instrumente financiare derivate se raportează la punctul 1.4 sau 1.5. Depozitele se raportează în conformitate cu data scadentă contractuală cu cel mai apropiat termen posibil. Depozitele care pot fi retrase imediat fără notificare („depozite la vedere”) sau depozitele nescadente se raportează în banda „overnight”.</w:t>
                  </w:r>
                </w:p>
              </w:tc>
            </w:tr>
          </w:tbl>
          <w:p w14:paraId="2100410C" w14:textId="77777777" w:rsidR="008E3BA7" w:rsidRPr="00BF7956" w:rsidRDefault="008E3BA7" w:rsidP="008E3BA7">
            <w:pPr>
              <w:rPr>
                <w:sz w:val="20"/>
                <w:szCs w:val="20"/>
                <w:lang w:val="ro-RO" w:eastAsia="en-US"/>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718"/>
              <w:gridCol w:w="3672"/>
            </w:tblGrid>
            <w:tr w:rsidR="008E3BA7" w:rsidRPr="002C43F1" w14:paraId="6F3DA081" w14:textId="77777777" w:rsidTr="00CE67CE">
              <w:tc>
                <w:tcPr>
                  <w:tcW w:w="718" w:type="dxa"/>
                </w:tcPr>
                <w:p w14:paraId="1D138A10" w14:textId="79E2717B" w:rsidR="008E3BA7" w:rsidRPr="00BF7956" w:rsidRDefault="003C6910"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260</w:t>
                  </w:r>
                </w:p>
              </w:tc>
              <w:tc>
                <w:tcPr>
                  <w:tcW w:w="3672" w:type="dxa"/>
                </w:tcPr>
                <w:p w14:paraId="74FA5741" w14:textId="77777777" w:rsidR="003C6910" w:rsidRPr="00BF7956" w:rsidRDefault="003C6910" w:rsidP="003C6910">
                  <w:pPr>
                    <w:pStyle w:val="CM4"/>
                    <w:framePr w:hSpace="180" w:wrap="around" w:vAnchor="text" w:hAnchor="margin" w:y="137"/>
                    <w:spacing w:before="60" w:after="60"/>
                    <w:rPr>
                      <w:b/>
                      <w:bCs/>
                      <w:color w:val="000000"/>
                      <w:sz w:val="20"/>
                      <w:szCs w:val="20"/>
                    </w:rPr>
                  </w:pPr>
                  <w:r w:rsidRPr="00BF7956">
                    <w:rPr>
                      <w:b/>
                      <w:bCs/>
                      <w:color w:val="000000"/>
                      <w:sz w:val="20"/>
                      <w:szCs w:val="20"/>
                    </w:rPr>
                    <w:t>1.3 Datorii neraportate la punctul 1.2, rezultate din depozitele primite, exceptând depozitele primite ca garanții reale</w:t>
                  </w:r>
                </w:p>
                <w:p w14:paraId="42F253DF" w14:textId="77777777" w:rsidR="003C6910" w:rsidRPr="00BF7956" w:rsidRDefault="003C6910" w:rsidP="003C6910">
                  <w:pPr>
                    <w:pStyle w:val="CM4"/>
                    <w:framePr w:hSpace="180" w:wrap="around" w:vAnchor="text" w:hAnchor="margin" w:y="137"/>
                    <w:spacing w:before="60" w:after="60"/>
                    <w:rPr>
                      <w:color w:val="000000"/>
                      <w:sz w:val="20"/>
                      <w:szCs w:val="20"/>
                    </w:rPr>
                  </w:pPr>
                  <w:r w:rsidRPr="00BF7956">
                    <w:rPr>
                      <w:color w:val="000000"/>
                      <w:sz w:val="20"/>
                      <w:szCs w:val="20"/>
                    </w:rPr>
                    <w:t>Ieșirile de numerar rezultate din toate depozitele primite, cu excepția ieșirilor raportate la punctul 1.2 și a depozitelor primite ca garanții reale.</w:t>
                  </w:r>
                </w:p>
                <w:p w14:paraId="65886435" w14:textId="77777777" w:rsidR="003C6910" w:rsidRPr="00BF7956" w:rsidRDefault="003C6910" w:rsidP="003C6910">
                  <w:pPr>
                    <w:pStyle w:val="CM4"/>
                    <w:framePr w:hSpace="180" w:wrap="around" w:vAnchor="text" w:hAnchor="margin" w:y="137"/>
                    <w:spacing w:before="60" w:after="60"/>
                    <w:rPr>
                      <w:color w:val="000000"/>
                      <w:sz w:val="20"/>
                      <w:szCs w:val="20"/>
                    </w:rPr>
                  </w:pPr>
                  <w:r w:rsidRPr="00BF7956">
                    <w:rPr>
                      <w:color w:val="000000"/>
                      <w:sz w:val="20"/>
                      <w:szCs w:val="20"/>
                    </w:rPr>
                    <w:t>Ieșirile de numerar generate de tranzacții cu instrumente financiare derivate se raportează la punctul 1.4 sau 1.5.</w:t>
                  </w:r>
                </w:p>
                <w:p w14:paraId="3E481AEC" w14:textId="5AE37719" w:rsidR="008E3BA7" w:rsidRPr="00BF7956" w:rsidRDefault="003C6910" w:rsidP="003C6910">
                  <w:pPr>
                    <w:pStyle w:val="CM4"/>
                    <w:framePr w:hSpace="180" w:wrap="around" w:vAnchor="text" w:hAnchor="margin" w:y="137"/>
                    <w:spacing w:before="60" w:after="60"/>
                    <w:rPr>
                      <w:i/>
                      <w:iCs/>
                      <w:color w:val="000000"/>
                      <w:sz w:val="20"/>
                      <w:szCs w:val="20"/>
                      <w:lang w:val="ro-RO"/>
                    </w:rPr>
                  </w:pPr>
                  <w:r w:rsidRPr="00BF7956">
                    <w:rPr>
                      <w:color w:val="000000"/>
                      <w:sz w:val="20"/>
                      <w:szCs w:val="20"/>
                    </w:rPr>
                    <w:t>Depozitele se raportează în conformitate cu scaden</w:t>
                  </w:r>
                  <w:r w:rsidR="00BB2562">
                    <w:rPr>
                      <w:color w:val="000000"/>
                      <w:sz w:val="20"/>
                      <w:szCs w:val="20"/>
                    </w:rPr>
                    <w:t>ța</w:t>
                  </w:r>
                  <w:r w:rsidRPr="00BF7956">
                    <w:rPr>
                      <w:color w:val="000000"/>
                      <w:sz w:val="20"/>
                      <w:szCs w:val="20"/>
                    </w:rPr>
                    <w:t xml:space="preserve"> contractuală cu cel mai apropiat termen posibil. Depozitele care pot fi retrase imediat fără notificare („depozite la vedere”) sau depozitele nescadente se raportează în banda „overnight”.</w:t>
                  </w:r>
                </w:p>
              </w:tc>
            </w:tr>
          </w:tbl>
          <w:p w14:paraId="21CC2D52"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0F372F7" w14:textId="47F65AC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68E2ED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7A7E864" w14:textId="77777777" w:rsidR="008E3BA7" w:rsidRPr="00BF7956" w:rsidRDefault="008E3BA7" w:rsidP="008E3BA7">
            <w:pPr>
              <w:jc w:val="both"/>
              <w:rPr>
                <w:sz w:val="20"/>
                <w:szCs w:val="20"/>
                <w:lang w:val="ro-RO"/>
              </w:rPr>
            </w:pPr>
          </w:p>
        </w:tc>
        <w:tc>
          <w:tcPr>
            <w:tcW w:w="992" w:type="dxa"/>
          </w:tcPr>
          <w:p w14:paraId="1F8B0897" w14:textId="77777777" w:rsidR="008E3BA7" w:rsidRPr="00BF7956" w:rsidRDefault="008E3BA7" w:rsidP="008E3BA7">
            <w:pPr>
              <w:jc w:val="both"/>
              <w:rPr>
                <w:sz w:val="20"/>
                <w:szCs w:val="20"/>
                <w:lang w:val="ro-RO"/>
              </w:rPr>
            </w:pPr>
          </w:p>
        </w:tc>
      </w:tr>
      <w:tr w:rsidR="00B12834" w:rsidRPr="002C43F1" w14:paraId="2C744B6C" w14:textId="77777777" w:rsidTr="00C25F84">
        <w:tc>
          <w:tcPr>
            <w:tcW w:w="4576" w:type="dxa"/>
          </w:tcPr>
          <w:tbl>
            <w:tblPr>
              <w:tblStyle w:val="TableGrid"/>
              <w:tblW w:w="4390" w:type="dxa"/>
              <w:tblLayout w:type="fixed"/>
              <w:tblLook w:val="04A0" w:firstRow="1" w:lastRow="0" w:firstColumn="1" w:lastColumn="0" w:noHBand="0" w:noVBand="1"/>
            </w:tblPr>
            <w:tblGrid>
              <w:gridCol w:w="718"/>
              <w:gridCol w:w="3672"/>
            </w:tblGrid>
            <w:tr w:rsidR="00B12834" w:rsidRPr="002C43F1" w14:paraId="0646F52D" w14:textId="77777777" w:rsidTr="00472775">
              <w:tc>
                <w:tcPr>
                  <w:tcW w:w="718" w:type="dxa"/>
                </w:tcPr>
                <w:p w14:paraId="13E0BE4A" w14:textId="36EA791A" w:rsidR="00B12834" w:rsidRPr="00BF7956" w:rsidRDefault="00B12834" w:rsidP="00B12834">
                  <w:pPr>
                    <w:pStyle w:val="CM4"/>
                    <w:framePr w:hSpace="180" w:wrap="around" w:vAnchor="text" w:hAnchor="margin" w:y="137"/>
                    <w:spacing w:before="60" w:after="60"/>
                    <w:rPr>
                      <w:i/>
                      <w:iCs/>
                      <w:color w:val="000000"/>
                      <w:sz w:val="20"/>
                      <w:szCs w:val="20"/>
                      <w:lang w:val="ro-RO"/>
                    </w:rPr>
                  </w:pPr>
                  <w:r w:rsidRPr="00BF7956">
                    <w:rPr>
                      <w:color w:val="000000"/>
                      <w:sz w:val="20"/>
                      <w:szCs w:val="20"/>
                    </w:rPr>
                    <w:t>0261</w:t>
                  </w:r>
                </w:p>
              </w:tc>
              <w:tc>
                <w:tcPr>
                  <w:tcW w:w="3672" w:type="dxa"/>
                </w:tcPr>
                <w:p w14:paraId="44DDA670" w14:textId="0C7A18B9" w:rsidR="00B12834" w:rsidRPr="00BF7956" w:rsidRDefault="00B12834" w:rsidP="00B12834">
                  <w:pPr>
                    <w:pStyle w:val="CM4"/>
                    <w:framePr w:hSpace="180" w:wrap="around" w:vAnchor="text" w:hAnchor="margin" w:y="137"/>
                    <w:spacing w:before="60" w:after="60"/>
                    <w:rPr>
                      <w:i/>
                      <w:iCs/>
                      <w:color w:val="000000"/>
                      <w:sz w:val="20"/>
                      <w:szCs w:val="20"/>
                      <w:lang w:val="ro-RO"/>
                    </w:rPr>
                  </w:pPr>
                  <w:r w:rsidRPr="00BF7956">
                    <w:rPr>
                      <w:b/>
                      <w:bCs/>
                      <w:color w:val="000000"/>
                      <w:sz w:val="20"/>
                      <w:szCs w:val="20"/>
                    </w:rPr>
                    <w:t xml:space="preserve">1.3.0.1 din care: intragrup sau IPS </w:t>
                  </w:r>
                  <w:r w:rsidRPr="00BF7956">
                    <w:rPr>
                      <w:color w:val="000000"/>
                      <w:sz w:val="20"/>
                      <w:szCs w:val="20"/>
                    </w:rPr>
                    <w:t>Cuantumul ieșirilor de la punctul 1.3 în cazul în care contrapartea este o</w:t>
                  </w:r>
                  <w:r w:rsidRPr="00BF7956">
                    <w:rPr>
                      <w:b/>
                      <w:bCs/>
                      <w:color w:val="000000"/>
                      <w:sz w:val="20"/>
                      <w:szCs w:val="20"/>
                    </w:rPr>
                    <w:t xml:space="preserve"> </w:t>
                  </w:r>
                  <w:r w:rsidRPr="00BF7956">
                    <w:rPr>
                      <w:color w:val="000000"/>
                      <w:sz w:val="20"/>
                      <w:szCs w:val="20"/>
                    </w:rPr>
                    <w:t>instituţie- mamă sau o filială a instituţiei sau o altă filială a aceleiași instituţii-mamă ori este legată de instituţia de credit printr-o relaţie în sensul articolului 22 alineatul (7) din 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36517C70" w14:textId="77777777" w:rsidR="00B12834" w:rsidRPr="00BF7956" w:rsidRDefault="00B12834"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718"/>
              <w:gridCol w:w="3672"/>
            </w:tblGrid>
            <w:tr w:rsidR="00B12834" w:rsidRPr="00BF7956" w14:paraId="625C06BC" w14:textId="77777777" w:rsidTr="00472775">
              <w:tc>
                <w:tcPr>
                  <w:tcW w:w="718" w:type="dxa"/>
                </w:tcPr>
                <w:p w14:paraId="6B3874B2" w14:textId="691292F0" w:rsidR="00B12834" w:rsidRPr="00BF7956" w:rsidRDefault="00B12834" w:rsidP="00B12834">
                  <w:pPr>
                    <w:pStyle w:val="CM4"/>
                    <w:framePr w:hSpace="180" w:wrap="around" w:vAnchor="text" w:hAnchor="margin" w:y="137"/>
                    <w:spacing w:before="60" w:after="60"/>
                    <w:rPr>
                      <w:i/>
                      <w:iCs/>
                      <w:color w:val="000000"/>
                      <w:sz w:val="20"/>
                      <w:szCs w:val="20"/>
                      <w:lang w:val="ro-RO"/>
                    </w:rPr>
                  </w:pPr>
                  <w:r w:rsidRPr="00BF7956">
                    <w:rPr>
                      <w:color w:val="000000"/>
                      <w:sz w:val="20"/>
                      <w:szCs w:val="20"/>
                    </w:rPr>
                    <w:t>0261</w:t>
                  </w:r>
                </w:p>
              </w:tc>
              <w:tc>
                <w:tcPr>
                  <w:tcW w:w="3672" w:type="dxa"/>
                </w:tcPr>
                <w:p w14:paraId="6FE1B717" w14:textId="6315B15E" w:rsidR="00B12834" w:rsidRPr="00BF7956" w:rsidRDefault="00B12834" w:rsidP="00B12834">
                  <w:pPr>
                    <w:pStyle w:val="CM4"/>
                    <w:framePr w:hSpace="180" w:wrap="around" w:vAnchor="text" w:hAnchor="margin" w:y="137"/>
                    <w:spacing w:before="60" w:after="60"/>
                    <w:rPr>
                      <w:b/>
                      <w:bCs/>
                      <w:color w:val="000000"/>
                      <w:sz w:val="20"/>
                      <w:szCs w:val="20"/>
                      <w:lang w:val="ro-RO"/>
                    </w:rPr>
                  </w:pPr>
                  <w:r w:rsidRPr="00BF7956">
                    <w:rPr>
                      <w:b/>
                      <w:bCs/>
                      <w:color w:val="000000"/>
                      <w:sz w:val="20"/>
                      <w:szCs w:val="20"/>
                      <w:lang w:val="ro-RO"/>
                    </w:rPr>
                    <w:t>1.3.0.1 din care: intragrup sau IPS</w:t>
                  </w:r>
                </w:p>
                <w:p w14:paraId="4139D2E2" w14:textId="3AAAEE3F" w:rsidR="00B12834" w:rsidRPr="00BF7956" w:rsidRDefault="00B12834" w:rsidP="00B12834">
                  <w:pPr>
                    <w:pStyle w:val="CM4"/>
                    <w:framePr w:hSpace="180" w:wrap="around" w:vAnchor="text" w:hAnchor="margin" w:y="137"/>
                    <w:spacing w:before="60" w:after="60"/>
                    <w:rPr>
                      <w:i/>
                      <w:iCs/>
                      <w:color w:val="000000"/>
                      <w:sz w:val="20"/>
                      <w:szCs w:val="20"/>
                      <w:lang w:val="ro-RO"/>
                    </w:rPr>
                  </w:pPr>
                </w:p>
              </w:tc>
            </w:tr>
          </w:tbl>
          <w:p w14:paraId="6F1F9B1E" w14:textId="77777777" w:rsidR="00B12834" w:rsidRPr="00BF7956" w:rsidRDefault="00B12834" w:rsidP="008E3BA7">
            <w:pPr>
              <w:pStyle w:val="CM4"/>
              <w:spacing w:before="60" w:after="60"/>
              <w:rPr>
                <w:color w:val="000000"/>
                <w:sz w:val="20"/>
                <w:szCs w:val="20"/>
              </w:rPr>
            </w:pPr>
          </w:p>
        </w:tc>
        <w:tc>
          <w:tcPr>
            <w:tcW w:w="1418" w:type="dxa"/>
          </w:tcPr>
          <w:p w14:paraId="2A8EC436" w14:textId="7ACFD42A" w:rsidR="00B12834" w:rsidRPr="00BF7956" w:rsidRDefault="00E75EB4" w:rsidP="008E3BA7">
            <w:pPr>
              <w:rPr>
                <w:bCs/>
                <w:sz w:val="20"/>
                <w:szCs w:val="20"/>
                <w:lang w:val="ro-RO"/>
              </w:rPr>
            </w:pPr>
            <w:r w:rsidRPr="00BF7956">
              <w:rPr>
                <w:bCs/>
                <w:sz w:val="20"/>
                <w:szCs w:val="20"/>
                <w:lang w:val="ro-RO"/>
              </w:rPr>
              <w:t>Necompatibil</w:t>
            </w:r>
          </w:p>
        </w:tc>
        <w:tc>
          <w:tcPr>
            <w:tcW w:w="2223" w:type="dxa"/>
          </w:tcPr>
          <w:p w14:paraId="420A1E43" w14:textId="6BF90F7F" w:rsidR="00B12834" w:rsidRPr="00BF7956" w:rsidRDefault="00BF7956" w:rsidP="00BF7956">
            <w:pPr>
              <w:rPr>
                <w:sz w:val="20"/>
                <w:szCs w:val="20"/>
                <w:lang w:val="ro-RO"/>
              </w:rPr>
            </w:pPr>
            <w:r w:rsidRPr="008E3BA7">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1937D798" w14:textId="77777777" w:rsidR="00B12834" w:rsidRPr="00BF7956" w:rsidRDefault="00B12834" w:rsidP="008E3BA7">
            <w:pPr>
              <w:jc w:val="both"/>
              <w:rPr>
                <w:sz w:val="20"/>
                <w:szCs w:val="20"/>
                <w:lang w:val="ro-RO"/>
              </w:rPr>
            </w:pPr>
          </w:p>
        </w:tc>
        <w:tc>
          <w:tcPr>
            <w:tcW w:w="992" w:type="dxa"/>
          </w:tcPr>
          <w:p w14:paraId="0E56A13D" w14:textId="77777777" w:rsidR="00B12834" w:rsidRPr="00BF7956" w:rsidRDefault="00B12834" w:rsidP="008E3BA7">
            <w:pPr>
              <w:jc w:val="both"/>
              <w:rPr>
                <w:sz w:val="20"/>
                <w:szCs w:val="20"/>
                <w:lang w:val="ro-RO"/>
              </w:rPr>
            </w:pPr>
          </w:p>
        </w:tc>
      </w:tr>
      <w:tr w:rsidR="008E3BA7" w:rsidRPr="00BF7956" w14:paraId="3B782AA7"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152345B7" w14:textId="77777777" w:rsidTr="00612E64">
              <w:tc>
                <w:tcPr>
                  <w:tcW w:w="718" w:type="dxa"/>
                </w:tcPr>
                <w:p w14:paraId="68565307" w14:textId="120B4B7E" w:rsidR="008E3BA7" w:rsidRPr="00BF7956" w:rsidRDefault="00E75EB4"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270</w:t>
                  </w:r>
                </w:p>
              </w:tc>
              <w:tc>
                <w:tcPr>
                  <w:tcW w:w="3674" w:type="dxa"/>
                </w:tcPr>
                <w:p w14:paraId="4BC05E5E" w14:textId="77777777" w:rsidR="00093467" w:rsidRPr="00BF7956" w:rsidRDefault="00093467"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1.3.1 Depozite retail stabile </w:t>
                  </w:r>
                </w:p>
                <w:p w14:paraId="52BC194B" w14:textId="5E5A5D76"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retail în conformitate cu articolul 411 alineatul (2) din Regulamentul (UE) nr. 575/2013 și cu articolul 24 din Regulamentul delegat (UE) 2015/61.</w:t>
                  </w:r>
                </w:p>
              </w:tc>
            </w:tr>
          </w:tbl>
          <w:p w14:paraId="190EF149"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5DB0CE9C" w14:textId="77777777" w:rsidTr="00CE67CE">
              <w:tc>
                <w:tcPr>
                  <w:tcW w:w="718" w:type="dxa"/>
                </w:tcPr>
                <w:p w14:paraId="70BD953D" w14:textId="565BDA8B" w:rsidR="008E3BA7" w:rsidRPr="00BF7956" w:rsidRDefault="00E75EB4"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270</w:t>
                  </w:r>
                </w:p>
              </w:tc>
              <w:tc>
                <w:tcPr>
                  <w:tcW w:w="3674" w:type="dxa"/>
                </w:tcPr>
                <w:p w14:paraId="091EC185" w14:textId="77777777" w:rsidR="00E75EB4" w:rsidRPr="00BF7956" w:rsidRDefault="00E75EB4" w:rsidP="00E75EB4">
                  <w:pPr>
                    <w:pStyle w:val="CM4"/>
                    <w:framePr w:hSpace="180" w:wrap="around" w:vAnchor="text" w:hAnchor="margin" w:y="137"/>
                    <w:spacing w:before="60" w:after="60"/>
                    <w:rPr>
                      <w:b/>
                      <w:bCs/>
                      <w:color w:val="000000"/>
                      <w:sz w:val="20"/>
                      <w:szCs w:val="20"/>
                    </w:rPr>
                  </w:pPr>
                  <w:r w:rsidRPr="00BF7956">
                    <w:rPr>
                      <w:b/>
                      <w:bCs/>
                      <w:color w:val="000000"/>
                      <w:sz w:val="20"/>
                      <w:szCs w:val="20"/>
                    </w:rPr>
                    <w:t>1.3.1 Depozite retail stabile</w:t>
                  </w:r>
                </w:p>
                <w:p w14:paraId="5F5F14E0" w14:textId="7BF2B366" w:rsidR="008E3BA7" w:rsidRPr="00BF7956" w:rsidRDefault="00E75EB4" w:rsidP="00E75EB4">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retail în conformitate cu punctul 5, subpunctul 6), punctele 51-53 din Regulamentul nr.44/2020 privind cerinţele de acoperire a necesarului de lichiditate pentru bănci.</w:t>
                  </w:r>
                </w:p>
              </w:tc>
            </w:tr>
          </w:tbl>
          <w:p w14:paraId="6D4B3B2F"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A2A66B8" w14:textId="5EBD24A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7B3895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DA9C3F9" w14:textId="77777777" w:rsidR="008E3BA7" w:rsidRPr="00BF7956" w:rsidRDefault="008E3BA7" w:rsidP="008E3BA7">
            <w:pPr>
              <w:jc w:val="both"/>
              <w:rPr>
                <w:sz w:val="20"/>
                <w:szCs w:val="20"/>
                <w:lang w:val="ro-RO"/>
              </w:rPr>
            </w:pPr>
          </w:p>
        </w:tc>
        <w:tc>
          <w:tcPr>
            <w:tcW w:w="992" w:type="dxa"/>
          </w:tcPr>
          <w:p w14:paraId="04D005B9" w14:textId="77777777" w:rsidR="008E3BA7" w:rsidRPr="00BF7956" w:rsidRDefault="008E3BA7" w:rsidP="008E3BA7">
            <w:pPr>
              <w:jc w:val="both"/>
              <w:rPr>
                <w:sz w:val="20"/>
                <w:szCs w:val="20"/>
                <w:lang w:val="ro-RO"/>
              </w:rPr>
            </w:pPr>
          </w:p>
        </w:tc>
      </w:tr>
      <w:tr w:rsidR="008E3BA7" w:rsidRPr="00BF7956" w14:paraId="4200BE9E"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55B45C3A" w14:textId="77777777" w:rsidTr="00612E64">
              <w:tc>
                <w:tcPr>
                  <w:tcW w:w="718" w:type="dxa"/>
                </w:tcPr>
                <w:p w14:paraId="1293D753" w14:textId="1CCAA76D"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280</w:t>
                  </w:r>
                </w:p>
              </w:tc>
              <w:tc>
                <w:tcPr>
                  <w:tcW w:w="3674" w:type="dxa"/>
                </w:tcPr>
                <w:p w14:paraId="1D6934B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1.3.2</w:t>
                  </w:r>
                  <w:r w:rsidRPr="00BF7956">
                    <w:rPr>
                      <w:color w:val="000000"/>
                      <w:sz w:val="20"/>
                      <w:szCs w:val="20"/>
                    </w:rPr>
                    <w:t xml:space="preserve"> </w:t>
                  </w:r>
                  <w:r w:rsidRPr="00BF7956">
                    <w:rPr>
                      <w:b/>
                      <w:bCs/>
                      <w:color w:val="000000"/>
                      <w:sz w:val="20"/>
                      <w:szCs w:val="20"/>
                    </w:rPr>
                    <w:t>Alte depozite retail</w:t>
                  </w:r>
                </w:p>
                <w:p w14:paraId="4CB84ED0" w14:textId="20CE1939"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retail în conformitate cu articolul 411 alineatul (2) din Regulamentul (UE) nr. 575/2013, altele decât cele raportate la punctul 1.3.1.</w:t>
                  </w:r>
                </w:p>
              </w:tc>
            </w:tr>
          </w:tbl>
          <w:p w14:paraId="56FCB5C4"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477B8951" w14:textId="77777777" w:rsidTr="00CE67CE">
              <w:tc>
                <w:tcPr>
                  <w:tcW w:w="718" w:type="dxa"/>
                </w:tcPr>
                <w:p w14:paraId="16969C99" w14:textId="2585BBCB"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280</w:t>
                  </w:r>
                </w:p>
              </w:tc>
              <w:tc>
                <w:tcPr>
                  <w:tcW w:w="3674" w:type="dxa"/>
                </w:tcPr>
                <w:p w14:paraId="2B025FCB"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1.3.2</w:t>
                  </w:r>
                  <w:r w:rsidRPr="00BF7956">
                    <w:rPr>
                      <w:color w:val="000000"/>
                      <w:sz w:val="20"/>
                      <w:szCs w:val="20"/>
                    </w:rPr>
                    <w:t xml:space="preserve"> </w:t>
                  </w:r>
                  <w:r w:rsidRPr="00BF7956">
                    <w:rPr>
                      <w:b/>
                      <w:bCs/>
                      <w:color w:val="000000"/>
                      <w:sz w:val="20"/>
                      <w:szCs w:val="20"/>
                    </w:rPr>
                    <w:t>Alte depozite retail</w:t>
                  </w:r>
                </w:p>
                <w:p w14:paraId="1521A9CB" w14:textId="5215FBDE"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rFonts w:eastAsia="Times New Roman"/>
                      <w:color w:val="333333"/>
                      <w:sz w:val="20"/>
                      <w:szCs w:val="20"/>
                      <w:lang w:eastAsia="ro-MD"/>
                    </w:rPr>
                    <w:t>Cuantumul ieșirilor de numerar raportate la punctul 1.3, rezultate din depozite retail în conformitate cu punctul 5, subpunctul 6) din Regulamentul nr.44/2020 privind cerinţele de acoperire a necesarului de lichiditate pentru bănci, altele decât cele raportate la punctul 1.3.1.</w:t>
                  </w:r>
                </w:p>
              </w:tc>
            </w:tr>
          </w:tbl>
          <w:p w14:paraId="37D60F53"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2A16A4F1" w14:textId="46A33CB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1C2777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C6DAF66" w14:textId="77777777" w:rsidR="008E3BA7" w:rsidRPr="00BF7956" w:rsidRDefault="008E3BA7" w:rsidP="008E3BA7">
            <w:pPr>
              <w:jc w:val="both"/>
              <w:rPr>
                <w:sz w:val="20"/>
                <w:szCs w:val="20"/>
                <w:lang w:val="ro-RO"/>
              </w:rPr>
            </w:pPr>
          </w:p>
        </w:tc>
        <w:tc>
          <w:tcPr>
            <w:tcW w:w="992" w:type="dxa"/>
          </w:tcPr>
          <w:p w14:paraId="76EECB78" w14:textId="77777777" w:rsidR="008E3BA7" w:rsidRPr="00BF7956" w:rsidRDefault="008E3BA7" w:rsidP="008E3BA7">
            <w:pPr>
              <w:jc w:val="both"/>
              <w:rPr>
                <w:sz w:val="20"/>
                <w:szCs w:val="20"/>
                <w:lang w:val="ro-RO"/>
              </w:rPr>
            </w:pPr>
          </w:p>
        </w:tc>
      </w:tr>
      <w:tr w:rsidR="008E3BA7" w:rsidRPr="00BF7956" w14:paraId="2EEF8C65"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3847EED8" w14:textId="77777777" w:rsidTr="00E62F3B">
              <w:tc>
                <w:tcPr>
                  <w:tcW w:w="718" w:type="dxa"/>
                </w:tcPr>
                <w:p w14:paraId="0342EEAC" w14:textId="1DAA61CC"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290</w:t>
                  </w:r>
                </w:p>
              </w:tc>
              <w:tc>
                <w:tcPr>
                  <w:tcW w:w="3674" w:type="dxa"/>
                </w:tcPr>
                <w:p w14:paraId="1588F6E2" w14:textId="77777777" w:rsidR="00093467" w:rsidRPr="00BF7956" w:rsidRDefault="00093467" w:rsidP="008E3BA7">
                  <w:pPr>
                    <w:pStyle w:val="CM4"/>
                    <w:framePr w:hSpace="180" w:wrap="around" w:vAnchor="text" w:hAnchor="margin" w:y="137"/>
                    <w:spacing w:before="60" w:after="60"/>
                    <w:rPr>
                      <w:color w:val="000000"/>
                      <w:sz w:val="20"/>
                      <w:szCs w:val="20"/>
                    </w:rPr>
                  </w:pPr>
                  <w:r w:rsidRPr="00BF7956">
                    <w:rPr>
                      <w:b/>
                      <w:bCs/>
                      <w:color w:val="000000"/>
                      <w:sz w:val="20"/>
                      <w:szCs w:val="20"/>
                    </w:rPr>
                    <w:t>1.3.3</w:t>
                  </w:r>
                  <w:r w:rsidRPr="00BF7956">
                    <w:rPr>
                      <w:color w:val="000000"/>
                      <w:sz w:val="20"/>
                      <w:szCs w:val="20"/>
                    </w:rPr>
                    <w:t xml:space="preserve"> </w:t>
                  </w:r>
                  <w:r w:rsidRPr="00BF7956">
                    <w:rPr>
                      <w:b/>
                      <w:bCs/>
                      <w:color w:val="000000"/>
                      <w:sz w:val="20"/>
                      <w:szCs w:val="20"/>
                    </w:rPr>
                    <w:t xml:space="preserve">Depozite operaţionale </w:t>
                  </w:r>
                </w:p>
                <w:p w14:paraId="39CAE88B" w14:textId="0D79D264"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operaţionale în conformitate cu articolul 27 din Regulamentul delegat (UE) 2015/61.</w:t>
                  </w:r>
                </w:p>
              </w:tc>
            </w:tr>
          </w:tbl>
          <w:p w14:paraId="4E246919"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093467" w:rsidRPr="002C43F1" w14:paraId="799D4A42" w14:textId="77777777" w:rsidTr="00CE67CE">
              <w:tc>
                <w:tcPr>
                  <w:tcW w:w="718" w:type="dxa"/>
                </w:tcPr>
                <w:p w14:paraId="085BB51E" w14:textId="1033508B" w:rsidR="00093467" w:rsidRPr="00BF7956" w:rsidRDefault="00093467" w:rsidP="00093467">
                  <w:pPr>
                    <w:pStyle w:val="CM4"/>
                    <w:framePr w:hSpace="180" w:wrap="around" w:vAnchor="text" w:hAnchor="margin" w:y="137"/>
                    <w:spacing w:before="60" w:after="60"/>
                    <w:rPr>
                      <w:i/>
                      <w:iCs/>
                      <w:color w:val="000000"/>
                      <w:sz w:val="20"/>
                      <w:szCs w:val="20"/>
                      <w:lang w:val="ro-RO"/>
                    </w:rPr>
                  </w:pPr>
                  <w:r w:rsidRPr="00BF7956">
                    <w:rPr>
                      <w:color w:val="000000"/>
                      <w:sz w:val="20"/>
                      <w:szCs w:val="20"/>
                    </w:rPr>
                    <w:t>0290</w:t>
                  </w:r>
                </w:p>
              </w:tc>
              <w:tc>
                <w:tcPr>
                  <w:tcW w:w="3674" w:type="dxa"/>
                </w:tcPr>
                <w:p w14:paraId="5B8E831F" w14:textId="77777777" w:rsidR="00093467" w:rsidRPr="00BF7956" w:rsidRDefault="00093467" w:rsidP="00093467">
                  <w:pPr>
                    <w:spacing w:before="60" w:after="60" w:line="312" w:lineRule="atLeast"/>
                    <w:jc w:val="both"/>
                    <w:rPr>
                      <w:color w:val="333333"/>
                      <w:sz w:val="20"/>
                      <w:szCs w:val="20"/>
                      <w:lang w:val="en-US" w:eastAsia="ro-MD"/>
                    </w:rPr>
                  </w:pPr>
                  <w:r w:rsidRPr="00BF7956">
                    <w:rPr>
                      <w:b/>
                      <w:bCs/>
                      <w:color w:val="333333"/>
                      <w:sz w:val="20"/>
                      <w:szCs w:val="20"/>
                      <w:lang w:val="en-US" w:eastAsia="ro-MD"/>
                    </w:rPr>
                    <w:t>1.3.3</w:t>
                  </w:r>
                  <w:r w:rsidRPr="00BF7956">
                    <w:rPr>
                      <w:color w:val="333333"/>
                      <w:sz w:val="20"/>
                      <w:szCs w:val="20"/>
                      <w:lang w:val="en-US" w:eastAsia="ro-MD"/>
                    </w:rPr>
                    <w:t> </w:t>
                  </w:r>
                  <w:r w:rsidRPr="00BF7956">
                    <w:rPr>
                      <w:b/>
                      <w:bCs/>
                      <w:color w:val="333333"/>
                      <w:sz w:val="20"/>
                      <w:szCs w:val="20"/>
                      <w:lang w:val="en-US" w:eastAsia="ro-MD"/>
                    </w:rPr>
                    <w:t>Depozite operaționale</w:t>
                  </w:r>
                </w:p>
                <w:p w14:paraId="4C126AF0" w14:textId="05492C5C" w:rsidR="00093467" w:rsidRPr="00BF7956" w:rsidRDefault="00093467" w:rsidP="00093467">
                  <w:pPr>
                    <w:pStyle w:val="CM4"/>
                    <w:framePr w:hSpace="180" w:wrap="around" w:vAnchor="text" w:hAnchor="margin" w:y="137"/>
                    <w:spacing w:before="60" w:after="60"/>
                    <w:rPr>
                      <w:i/>
                      <w:iCs/>
                      <w:color w:val="000000"/>
                      <w:sz w:val="20"/>
                      <w:szCs w:val="20"/>
                      <w:lang w:val="ro-RO"/>
                    </w:rPr>
                  </w:pPr>
                  <w:r w:rsidRPr="00BF7956">
                    <w:rPr>
                      <w:rFonts w:eastAsia="Times New Roman"/>
                      <w:color w:val="333333"/>
                      <w:sz w:val="20"/>
                      <w:szCs w:val="20"/>
                      <w:lang w:eastAsia="ro-MD"/>
                    </w:rPr>
                    <w:t xml:space="preserve">Cuantumul ieșirilor de numerar raportate la punctul 1.3 rezultate din depozite operaționale în conformitate cu punctele 62-66 din Regulamentul nr.44/2020 privind cerinţele de acoperire a necesarului de lichiditate pentru bănci. </w:t>
                  </w:r>
                </w:p>
              </w:tc>
            </w:tr>
          </w:tbl>
          <w:p w14:paraId="65E0C3E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AC8D985" w14:textId="56AD2E6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64DCAA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163AAD9" w14:textId="77777777" w:rsidR="008E3BA7" w:rsidRPr="00BF7956" w:rsidRDefault="008E3BA7" w:rsidP="008E3BA7">
            <w:pPr>
              <w:jc w:val="both"/>
              <w:rPr>
                <w:sz w:val="20"/>
                <w:szCs w:val="20"/>
                <w:lang w:val="ro-RO"/>
              </w:rPr>
            </w:pPr>
          </w:p>
        </w:tc>
        <w:tc>
          <w:tcPr>
            <w:tcW w:w="992" w:type="dxa"/>
          </w:tcPr>
          <w:p w14:paraId="179E4CA8" w14:textId="77777777" w:rsidR="008E3BA7" w:rsidRPr="00BF7956" w:rsidRDefault="008E3BA7" w:rsidP="008E3BA7">
            <w:pPr>
              <w:jc w:val="both"/>
              <w:rPr>
                <w:sz w:val="20"/>
                <w:szCs w:val="20"/>
                <w:lang w:val="ro-RO"/>
              </w:rPr>
            </w:pPr>
          </w:p>
        </w:tc>
      </w:tr>
      <w:tr w:rsidR="008E3BA7" w:rsidRPr="00BF7956" w14:paraId="6CBDFC6D" w14:textId="77777777" w:rsidTr="00C25F84">
        <w:tc>
          <w:tcPr>
            <w:tcW w:w="4576" w:type="dxa"/>
          </w:tcPr>
          <w:tbl>
            <w:tblPr>
              <w:tblStyle w:val="TableGrid"/>
              <w:tblW w:w="4390" w:type="dxa"/>
              <w:tblLayout w:type="fixed"/>
              <w:tblLook w:val="04A0" w:firstRow="1" w:lastRow="0" w:firstColumn="1" w:lastColumn="0" w:noHBand="0" w:noVBand="1"/>
            </w:tblPr>
            <w:tblGrid>
              <w:gridCol w:w="718"/>
              <w:gridCol w:w="3672"/>
            </w:tblGrid>
            <w:tr w:rsidR="008E3BA7" w:rsidRPr="002C43F1" w14:paraId="2D8BE370" w14:textId="77777777" w:rsidTr="00E62F3B">
              <w:tc>
                <w:tcPr>
                  <w:tcW w:w="718" w:type="dxa"/>
                </w:tcPr>
                <w:p w14:paraId="3AA2B6DA" w14:textId="42740A8D"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300</w:t>
                  </w:r>
                </w:p>
              </w:tc>
              <w:tc>
                <w:tcPr>
                  <w:tcW w:w="3672" w:type="dxa"/>
                </w:tcPr>
                <w:p w14:paraId="6C9D04A1" w14:textId="77777777" w:rsidR="00093467" w:rsidRPr="00BF7956" w:rsidRDefault="00093467" w:rsidP="008E3BA7">
                  <w:pPr>
                    <w:pStyle w:val="CM1"/>
                    <w:framePr w:hSpace="180" w:wrap="around" w:vAnchor="text" w:hAnchor="margin" w:y="137"/>
                    <w:rPr>
                      <w:b/>
                      <w:bCs/>
                      <w:color w:val="000000"/>
                      <w:sz w:val="20"/>
                      <w:szCs w:val="20"/>
                    </w:rPr>
                  </w:pPr>
                  <w:r w:rsidRPr="00BF7956">
                    <w:rPr>
                      <w:b/>
                      <w:bCs/>
                      <w:color w:val="000000"/>
                      <w:sz w:val="20"/>
                      <w:szCs w:val="20"/>
                    </w:rPr>
                    <w:t xml:space="preserve">1.3.4 Depozite neoperaţionale atrase de la instituţii de credit </w:t>
                  </w:r>
                </w:p>
                <w:p w14:paraId="0F4D8FA2" w14:textId="11E0800C" w:rsidR="008E3BA7" w:rsidRPr="00BF7956" w:rsidRDefault="00093467" w:rsidP="008E3BA7">
                  <w:pPr>
                    <w:pStyle w:val="CM1"/>
                    <w:framePr w:hSpace="180" w:wrap="around" w:vAnchor="text" w:hAnchor="margin" w:y="137"/>
                    <w:rPr>
                      <w:color w:val="000000"/>
                      <w:sz w:val="20"/>
                      <w:szCs w:val="20"/>
                    </w:rPr>
                  </w:pPr>
                  <w:r w:rsidRPr="00BF7956">
                    <w:rPr>
                      <w:color w:val="000000"/>
                      <w:sz w:val="20"/>
                      <w:szCs w:val="20"/>
                    </w:rPr>
                    <w:t>Cuantumul ieșirilor de numerar raportate la punctul 1.3, rezultate din depozitele efectuate de instituţii de credit, altele decât cele raportate la punctul 1.3.3.</w:t>
                  </w:r>
                </w:p>
              </w:tc>
            </w:tr>
          </w:tbl>
          <w:p w14:paraId="1B9F6E9C"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718"/>
              <w:gridCol w:w="3672"/>
            </w:tblGrid>
            <w:tr w:rsidR="008E3BA7" w:rsidRPr="002C43F1" w14:paraId="21B04D10" w14:textId="77777777" w:rsidTr="00CE67CE">
              <w:tc>
                <w:tcPr>
                  <w:tcW w:w="718" w:type="dxa"/>
                </w:tcPr>
                <w:p w14:paraId="74DD6C6E" w14:textId="78C5A3E1" w:rsidR="008E3BA7" w:rsidRPr="00BF7956" w:rsidRDefault="0009346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300</w:t>
                  </w:r>
                </w:p>
              </w:tc>
              <w:tc>
                <w:tcPr>
                  <w:tcW w:w="3672" w:type="dxa"/>
                </w:tcPr>
                <w:p w14:paraId="562E0A37" w14:textId="77777777" w:rsidR="001B54D6" w:rsidRPr="00BF7956" w:rsidRDefault="001B54D6" w:rsidP="001B54D6">
                  <w:pPr>
                    <w:pStyle w:val="CM1"/>
                    <w:framePr w:hSpace="180" w:wrap="around" w:vAnchor="text" w:hAnchor="margin" w:y="137"/>
                    <w:rPr>
                      <w:b/>
                      <w:bCs/>
                      <w:color w:val="000000"/>
                      <w:sz w:val="20"/>
                      <w:szCs w:val="20"/>
                    </w:rPr>
                  </w:pPr>
                  <w:r w:rsidRPr="00BF7956">
                    <w:rPr>
                      <w:b/>
                      <w:bCs/>
                      <w:color w:val="000000"/>
                      <w:sz w:val="20"/>
                      <w:szCs w:val="20"/>
                    </w:rPr>
                    <w:t>1.3.4 Depozite neoperaționale atrase de la bănci</w:t>
                  </w:r>
                </w:p>
                <w:p w14:paraId="6D95AA39" w14:textId="3F4AD04C" w:rsidR="008E3BA7" w:rsidRPr="00BF7956" w:rsidRDefault="001B54D6" w:rsidP="001B54D6">
                  <w:pPr>
                    <w:pStyle w:val="CM1"/>
                    <w:framePr w:hSpace="180" w:wrap="around" w:vAnchor="text" w:hAnchor="margin" w:y="137"/>
                    <w:rPr>
                      <w:color w:val="000000"/>
                      <w:sz w:val="20"/>
                      <w:szCs w:val="20"/>
                    </w:rPr>
                  </w:pPr>
                  <w:r w:rsidRPr="00BF7956">
                    <w:rPr>
                      <w:color w:val="000000"/>
                      <w:sz w:val="20"/>
                      <w:szCs w:val="20"/>
                    </w:rPr>
                    <w:t>Cuantumul ieșirilor de numerar raportate la punctul 1.3, rezultate din depozitele efectuate de bănci, altele decât cele raportate la punctul 1.3.3.</w:t>
                  </w:r>
                </w:p>
              </w:tc>
            </w:tr>
          </w:tbl>
          <w:p w14:paraId="4E630859"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48442895" w14:textId="39FCFE2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9D5A55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434997B" w14:textId="77777777" w:rsidR="008E3BA7" w:rsidRPr="00BF7956" w:rsidRDefault="008E3BA7" w:rsidP="008E3BA7">
            <w:pPr>
              <w:jc w:val="both"/>
              <w:rPr>
                <w:sz w:val="20"/>
                <w:szCs w:val="20"/>
                <w:lang w:val="ro-RO"/>
              </w:rPr>
            </w:pPr>
          </w:p>
        </w:tc>
        <w:tc>
          <w:tcPr>
            <w:tcW w:w="992" w:type="dxa"/>
          </w:tcPr>
          <w:p w14:paraId="40F0B0DE" w14:textId="77777777" w:rsidR="008E3BA7" w:rsidRPr="00BF7956" w:rsidRDefault="008E3BA7" w:rsidP="008E3BA7">
            <w:pPr>
              <w:jc w:val="both"/>
              <w:rPr>
                <w:sz w:val="20"/>
                <w:szCs w:val="20"/>
                <w:lang w:val="ro-RO"/>
              </w:rPr>
            </w:pPr>
          </w:p>
        </w:tc>
      </w:tr>
      <w:tr w:rsidR="008E3BA7" w:rsidRPr="00BF7956" w14:paraId="2ABFC9AB"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64352379" w14:textId="77777777" w:rsidTr="00E215C4">
              <w:tc>
                <w:tcPr>
                  <w:tcW w:w="718" w:type="dxa"/>
                </w:tcPr>
                <w:p w14:paraId="6AA11242" w14:textId="3425D82A" w:rsidR="008E3BA7" w:rsidRPr="00BF7956" w:rsidRDefault="001B54D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310</w:t>
                  </w:r>
                </w:p>
              </w:tc>
              <w:tc>
                <w:tcPr>
                  <w:tcW w:w="3674" w:type="dxa"/>
                </w:tcPr>
                <w:p w14:paraId="109B905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1.3.5</w:t>
                  </w:r>
                  <w:r w:rsidRPr="00BF7956">
                    <w:rPr>
                      <w:color w:val="000000"/>
                      <w:sz w:val="20"/>
                      <w:szCs w:val="20"/>
                    </w:rPr>
                    <w:t xml:space="preserve"> </w:t>
                  </w:r>
                  <w:r w:rsidRPr="00BF7956">
                    <w:rPr>
                      <w:b/>
                      <w:bCs/>
                      <w:color w:val="000000"/>
                      <w:sz w:val="20"/>
                      <w:szCs w:val="20"/>
                    </w:rPr>
                    <w:t xml:space="preserve">Depozite neoperaţionale atrase de la alţi clienţi financiari </w:t>
                  </w:r>
                </w:p>
                <w:p w14:paraId="40464E42" w14:textId="477429F4"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de la clienţi financiari în conformitate cu articolul 411 alineatul (1) din Regulamentul (UE) nr. 575/2013, altele decât cele raportate la punctele 1.3.3 și 1.3.4.</w:t>
                  </w:r>
                </w:p>
              </w:tc>
            </w:tr>
          </w:tbl>
          <w:p w14:paraId="5B56649C"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0449C925" w14:textId="77777777" w:rsidTr="00CE67CE">
              <w:tc>
                <w:tcPr>
                  <w:tcW w:w="718" w:type="dxa"/>
                </w:tcPr>
                <w:p w14:paraId="1B6EB41C" w14:textId="2AE293F5" w:rsidR="008E3BA7" w:rsidRPr="00BF7956" w:rsidRDefault="001B54D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310</w:t>
                  </w:r>
                </w:p>
              </w:tc>
              <w:tc>
                <w:tcPr>
                  <w:tcW w:w="3674" w:type="dxa"/>
                </w:tcPr>
                <w:p w14:paraId="716FED0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1.3.5</w:t>
                  </w:r>
                  <w:r w:rsidRPr="00BF7956">
                    <w:rPr>
                      <w:color w:val="000000"/>
                      <w:sz w:val="20"/>
                      <w:szCs w:val="20"/>
                    </w:rPr>
                    <w:t xml:space="preserve"> </w:t>
                  </w:r>
                  <w:r w:rsidRPr="00BF7956">
                    <w:rPr>
                      <w:b/>
                      <w:bCs/>
                      <w:color w:val="000000"/>
                      <w:sz w:val="20"/>
                      <w:szCs w:val="20"/>
                    </w:rPr>
                    <w:t xml:space="preserve">Depozite neoperaţionale atrase de la alţi clienţi financiari </w:t>
                  </w:r>
                </w:p>
                <w:p w14:paraId="010051AB" w14:textId="635CD27F" w:rsidR="008E3BA7" w:rsidRPr="00BF7956" w:rsidRDefault="00A130C9" w:rsidP="00A130C9">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de la clienți financiari, în conformitate cu punctul 5 subpunctul 3 din Regulamentul nr.44/2020 privind cerinţele de acoperire a necesarului de lichiditate pentru bănci, altele decât cele raportate la punctele 1.3.3 și 1.3.4.</w:t>
                  </w:r>
                </w:p>
              </w:tc>
            </w:tr>
          </w:tbl>
          <w:p w14:paraId="1C5E94BC"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37C9E86" w14:textId="646055C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EDA7DA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F135CFC" w14:textId="77777777" w:rsidR="008E3BA7" w:rsidRPr="00BF7956" w:rsidRDefault="008E3BA7" w:rsidP="008E3BA7">
            <w:pPr>
              <w:jc w:val="both"/>
              <w:rPr>
                <w:sz w:val="20"/>
                <w:szCs w:val="20"/>
                <w:lang w:val="ro-RO"/>
              </w:rPr>
            </w:pPr>
          </w:p>
        </w:tc>
        <w:tc>
          <w:tcPr>
            <w:tcW w:w="992" w:type="dxa"/>
          </w:tcPr>
          <w:p w14:paraId="54E33046" w14:textId="77777777" w:rsidR="008E3BA7" w:rsidRPr="00BF7956" w:rsidRDefault="008E3BA7" w:rsidP="008E3BA7">
            <w:pPr>
              <w:jc w:val="both"/>
              <w:rPr>
                <w:sz w:val="20"/>
                <w:szCs w:val="20"/>
                <w:lang w:val="ro-RO"/>
              </w:rPr>
            </w:pPr>
          </w:p>
        </w:tc>
      </w:tr>
      <w:tr w:rsidR="008E3BA7" w:rsidRPr="00BF7956" w14:paraId="22D15761"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15426110" w14:textId="77777777" w:rsidTr="00E215C4">
              <w:tc>
                <w:tcPr>
                  <w:tcW w:w="718" w:type="dxa"/>
                </w:tcPr>
                <w:p w14:paraId="659ECF91" w14:textId="4E7A5E51"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320</w:t>
                  </w:r>
                </w:p>
              </w:tc>
              <w:tc>
                <w:tcPr>
                  <w:tcW w:w="3674" w:type="dxa"/>
                </w:tcPr>
                <w:p w14:paraId="291A77D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1.3.6</w:t>
                  </w:r>
                  <w:r w:rsidRPr="00BF7956">
                    <w:rPr>
                      <w:color w:val="000000"/>
                      <w:sz w:val="20"/>
                      <w:szCs w:val="20"/>
                    </w:rPr>
                    <w:t xml:space="preserve"> </w:t>
                  </w:r>
                  <w:r w:rsidRPr="00BF7956">
                    <w:rPr>
                      <w:b/>
                      <w:bCs/>
                      <w:color w:val="000000"/>
                      <w:sz w:val="20"/>
                      <w:szCs w:val="20"/>
                    </w:rPr>
                    <w:t xml:space="preserve">Depozite neoperaţionale atrase de la bănci centrale </w:t>
                  </w:r>
                </w:p>
                <w:p w14:paraId="188DDC1F" w14:textId="449151DE"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neoperaţionale plasate de bănci centrale.</w:t>
                  </w:r>
                </w:p>
              </w:tc>
            </w:tr>
          </w:tbl>
          <w:p w14:paraId="3C091E73"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1794EBB4" w14:textId="77777777" w:rsidTr="00CE67CE">
              <w:tc>
                <w:tcPr>
                  <w:tcW w:w="718" w:type="dxa"/>
                </w:tcPr>
                <w:p w14:paraId="0EB5F9A0" w14:textId="0D8C9EE2"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320</w:t>
                  </w:r>
                </w:p>
              </w:tc>
              <w:tc>
                <w:tcPr>
                  <w:tcW w:w="3674" w:type="dxa"/>
                </w:tcPr>
                <w:p w14:paraId="3B13552B"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1.3.6</w:t>
                  </w:r>
                  <w:r w:rsidRPr="00BF7956">
                    <w:rPr>
                      <w:color w:val="000000"/>
                      <w:sz w:val="20"/>
                      <w:szCs w:val="20"/>
                    </w:rPr>
                    <w:t xml:space="preserve"> </w:t>
                  </w:r>
                  <w:r w:rsidRPr="00BF7956">
                    <w:rPr>
                      <w:b/>
                      <w:bCs/>
                      <w:color w:val="000000"/>
                      <w:sz w:val="20"/>
                      <w:szCs w:val="20"/>
                    </w:rPr>
                    <w:t xml:space="preserve">Depozite neoperaţionale atrase de la bănci centrale </w:t>
                  </w:r>
                </w:p>
                <w:p w14:paraId="76362E23" w14:textId="7B0438DC"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w:t>
                  </w:r>
                  <w:r w:rsidR="00BB2562">
                    <w:rPr>
                      <w:color w:val="000000"/>
                      <w:sz w:val="20"/>
                      <w:szCs w:val="20"/>
                    </w:rPr>
                    <w:t>,</w:t>
                  </w:r>
                  <w:r w:rsidRPr="00BF7956">
                    <w:rPr>
                      <w:color w:val="000000"/>
                      <w:sz w:val="20"/>
                      <w:szCs w:val="20"/>
                    </w:rPr>
                    <w:t xml:space="preserve"> rezultate din depozite neoperaționale plasate de bănci centrale.</w:t>
                  </w:r>
                </w:p>
              </w:tc>
            </w:tr>
          </w:tbl>
          <w:p w14:paraId="44E1F120"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2AEC402D" w14:textId="06ABACE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466D93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8A8B94D" w14:textId="77777777" w:rsidR="008E3BA7" w:rsidRPr="00BF7956" w:rsidRDefault="008E3BA7" w:rsidP="008E3BA7">
            <w:pPr>
              <w:jc w:val="both"/>
              <w:rPr>
                <w:sz w:val="20"/>
                <w:szCs w:val="20"/>
                <w:lang w:val="ro-RO"/>
              </w:rPr>
            </w:pPr>
          </w:p>
        </w:tc>
        <w:tc>
          <w:tcPr>
            <w:tcW w:w="992" w:type="dxa"/>
          </w:tcPr>
          <w:p w14:paraId="3BD98508" w14:textId="77777777" w:rsidR="008E3BA7" w:rsidRPr="00BF7956" w:rsidRDefault="008E3BA7" w:rsidP="008E3BA7">
            <w:pPr>
              <w:jc w:val="both"/>
              <w:rPr>
                <w:sz w:val="20"/>
                <w:szCs w:val="20"/>
                <w:lang w:val="ro-RO"/>
              </w:rPr>
            </w:pPr>
          </w:p>
        </w:tc>
      </w:tr>
      <w:tr w:rsidR="008E3BA7" w:rsidRPr="00BF7956" w14:paraId="60AC5D44"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68A1A7EF" w14:textId="77777777" w:rsidTr="00E215C4">
              <w:tc>
                <w:tcPr>
                  <w:tcW w:w="718" w:type="dxa"/>
                </w:tcPr>
                <w:p w14:paraId="2E926773" w14:textId="66B7EC09"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330</w:t>
                  </w:r>
                </w:p>
              </w:tc>
              <w:tc>
                <w:tcPr>
                  <w:tcW w:w="3674" w:type="dxa"/>
                </w:tcPr>
                <w:p w14:paraId="5D12962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1.3.7</w:t>
                  </w:r>
                  <w:r w:rsidRPr="00BF7956">
                    <w:rPr>
                      <w:color w:val="000000"/>
                      <w:sz w:val="20"/>
                      <w:szCs w:val="20"/>
                    </w:rPr>
                    <w:t xml:space="preserve"> </w:t>
                  </w:r>
                  <w:r w:rsidRPr="00BF7956">
                    <w:rPr>
                      <w:b/>
                      <w:bCs/>
                      <w:color w:val="000000"/>
                      <w:sz w:val="20"/>
                      <w:szCs w:val="20"/>
                    </w:rPr>
                    <w:t xml:space="preserve">Depozite neoperaţionale atrase de la societăţi nefinanciare </w:t>
                  </w:r>
                </w:p>
                <w:p w14:paraId="419768F0" w14:textId="2782688B"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neoperaţionale plasate de societăţi nefinanciare.</w:t>
                  </w:r>
                </w:p>
              </w:tc>
            </w:tr>
          </w:tbl>
          <w:p w14:paraId="357C4EF6"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067F208F" w14:textId="77777777" w:rsidTr="00CE67CE">
              <w:tc>
                <w:tcPr>
                  <w:tcW w:w="718" w:type="dxa"/>
                </w:tcPr>
                <w:p w14:paraId="291A172D" w14:textId="38E70E5B"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330</w:t>
                  </w:r>
                </w:p>
              </w:tc>
              <w:tc>
                <w:tcPr>
                  <w:tcW w:w="3674" w:type="dxa"/>
                </w:tcPr>
                <w:p w14:paraId="0BF350D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1.3.7</w:t>
                  </w:r>
                  <w:r w:rsidRPr="00BF7956">
                    <w:rPr>
                      <w:color w:val="000000"/>
                      <w:sz w:val="20"/>
                      <w:szCs w:val="20"/>
                    </w:rPr>
                    <w:t xml:space="preserve"> </w:t>
                  </w:r>
                  <w:r w:rsidRPr="00BF7956">
                    <w:rPr>
                      <w:b/>
                      <w:bCs/>
                      <w:color w:val="000000"/>
                      <w:sz w:val="20"/>
                      <w:szCs w:val="20"/>
                    </w:rPr>
                    <w:t xml:space="preserve">Depozite neoperaţionale atrase de la societăţi nefinanciare </w:t>
                  </w:r>
                </w:p>
                <w:p w14:paraId="68F7D3A4" w14:textId="6C06513F"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w:t>
                  </w:r>
                  <w:r w:rsidR="00BB2562">
                    <w:rPr>
                      <w:color w:val="000000"/>
                      <w:sz w:val="20"/>
                      <w:szCs w:val="20"/>
                    </w:rPr>
                    <w:t>,</w:t>
                  </w:r>
                  <w:r w:rsidRPr="00BF7956">
                    <w:rPr>
                      <w:color w:val="000000"/>
                      <w:sz w:val="20"/>
                      <w:szCs w:val="20"/>
                    </w:rPr>
                    <w:t xml:space="preserve"> rezultate din depozite neoperaționale plasate de societăți nefinanciare.</w:t>
                  </w:r>
                </w:p>
              </w:tc>
            </w:tr>
          </w:tbl>
          <w:p w14:paraId="7CEDFDFE"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135F62E" w14:textId="60CD167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E3214C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2532C59" w14:textId="77777777" w:rsidR="008E3BA7" w:rsidRPr="00BF7956" w:rsidRDefault="008E3BA7" w:rsidP="008E3BA7">
            <w:pPr>
              <w:jc w:val="both"/>
              <w:rPr>
                <w:sz w:val="20"/>
                <w:szCs w:val="20"/>
                <w:lang w:val="ro-RO"/>
              </w:rPr>
            </w:pPr>
          </w:p>
        </w:tc>
        <w:tc>
          <w:tcPr>
            <w:tcW w:w="992" w:type="dxa"/>
          </w:tcPr>
          <w:p w14:paraId="4BD90BF4" w14:textId="77777777" w:rsidR="008E3BA7" w:rsidRPr="00BF7956" w:rsidRDefault="008E3BA7" w:rsidP="008E3BA7">
            <w:pPr>
              <w:jc w:val="both"/>
              <w:rPr>
                <w:sz w:val="20"/>
                <w:szCs w:val="20"/>
                <w:lang w:val="ro-RO"/>
              </w:rPr>
            </w:pPr>
          </w:p>
        </w:tc>
      </w:tr>
      <w:tr w:rsidR="008E3BA7" w:rsidRPr="00BF7956" w14:paraId="23DC2273"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25FA0917" w14:textId="77777777" w:rsidTr="003B122D">
              <w:tc>
                <w:tcPr>
                  <w:tcW w:w="718" w:type="dxa"/>
                </w:tcPr>
                <w:p w14:paraId="1CB4797B" w14:textId="50F16F24"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340</w:t>
                  </w:r>
                </w:p>
              </w:tc>
              <w:tc>
                <w:tcPr>
                  <w:tcW w:w="3674" w:type="dxa"/>
                </w:tcPr>
                <w:p w14:paraId="0D8A1AE4" w14:textId="77777777" w:rsidR="00A130C9" w:rsidRPr="00BF7956" w:rsidRDefault="00A130C9"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1.3.8 Depozite neoperaţionale atrase de la alte contrapărţi </w:t>
                  </w:r>
                </w:p>
                <w:p w14:paraId="52A52E9C" w14:textId="3F7F3110"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 rezultate din depozite neraportate la punctele 1.3.1-1.3.7.</w:t>
                  </w:r>
                </w:p>
              </w:tc>
            </w:tr>
          </w:tbl>
          <w:p w14:paraId="71A332C4"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31C18B42" w14:textId="77777777" w:rsidTr="00CE67CE">
              <w:tc>
                <w:tcPr>
                  <w:tcW w:w="718" w:type="dxa"/>
                </w:tcPr>
                <w:p w14:paraId="14FAFAF9" w14:textId="59419F54"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340</w:t>
                  </w:r>
                </w:p>
              </w:tc>
              <w:tc>
                <w:tcPr>
                  <w:tcW w:w="3674" w:type="dxa"/>
                </w:tcPr>
                <w:p w14:paraId="78D614D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1.3.8</w:t>
                  </w:r>
                  <w:r w:rsidRPr="00BF7956">
                    <w:rPr>
                      <w:color w:val="000000"/>
                      <w:sz w:val="20"/>
                      <w:szCs w:val="20"/>
                    </w:rPr>
                    <w:t xml:space="preserve"> </w:t>
                  </w:r>
                  <w:r w:rsidRPr="00BF7956">
                    <w:rPr>
                      <w:b/>
                      <w:bCs/>
                      <w:color w:val="000000"/>
                      <w:sz w:val="20"/>
                      <w:szCs w:val="20"/>
                    </w:rPr>
                    <w:t xml:space="preserve">Depozite neoperaţionale atrase de la alte contrapărţi </w:t>
                  </w:r>
                </w:p>
                <w:p w14:paraId="7B7AD16F" w14:textId="4967CB82" w:rsidR="008E3BA7" w:rsidRPr="00BF7956" w:rsidRDefault="00A130C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ieșirilor de numerar raportate la punctul 1.3</w:t>
                  </w:r>
                  <w:r w:rsidR="00BB2562">
                    <w:rPr>
                      <w:color w:val="000000"/>
                      <w:sz w:val="20"/>
                      <w:szCs w:val="20"/>
                    </w:rPr>
                    <w:t>,</w:t>
                  </w:r>
                  <w:r w:rsidRPr="00BF7956">
                    <w:rPr>
                      <w:color w:val="000000"/>
                      <w:sz w:val="20"/>
                      <w:szCs w:val="20"/>
                    </w:rPr>
                    <w:t xml:space="preserve"> rezultate din depozite care nu sunt raportate la punctele 1.3.1-1.3.7</w:t>
                  </w:r>
                </w:p>
              </w:tc>
            </w:tr>
          </w:tbl>
          <w:p w14:paraId="1CDF7746"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43EF8BD3" w14:textId="36E316C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7D3FDD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ABEC373" w14:textId="77777777" w:rsidR="008E3BA7" w:rsidRPr="00BF7956" w:rsidRDefault="008E3BA7" w:rsidP="008E3BA7">
            <w:pPr>
              <w:jc w:val="both"/>
              <w:rPr>
                <w:sz w:val="20"/>
                <w:szCs w:val="20"/>
                <w:lang w:val="ro-RO"/>
              </w:rPr>
            </w:pPr>
          </w:p>
        </w:tc>
        <w:tc>
          <w:tcPr>
            <w:tcW w:w="992" w:type="dxa"/>
          </w:tcPr>
          <w:p w14:paraId="035D0D84" w14:textId="77777777" w:rsidR="008E3BA7" w:rsidRPr="00BF7956" w:rsidRDefault="008E3BA7" w:rsidP="008E3BA7">
            <w:pPr>
              <w:jc w:val="both"/>
              <w:rPr>
                <w:sz w:val="20"/>
                <w:szCs w:val="20"/>
                <w:lang w:val="ro-RO"/>
              </w:rPr>
            </w:pPr>
          </w:p>
        </w:tc>
      </w:tr>
      <w:tr w:rsidR="008E3BA7" w:rsidRPr="00BF7956" w14:paraId="7B28A1CC"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71B508AA" w14:textId="77777777" w:rsidTr="003B122D">
              <w:tc>
                <w:tcPr>
                  <w:tcW w:w="718" w:type="dxa"/>
                </w:tcPr>
                <w:p w14:paraId="043B78D9" w14:textId="02415C1E" w:rsidR="008E3BA7" w:rsidRPr="00BF7956" w:rsidRDefault="002B7DC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350</w:t>
                  </w:r>
                </w:p>
              </w:tc>
              <w:tc>
                <w:tcPr>
                  <w:tcW w:w="3674" w:type="dxa"/>
                </w:tcPr>
                <w:p w14:paraId="0760410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1.4</w:t>
                  </w:r>
                  <w:r w:rsidRPr="00BF7956">
                    <w:rPr>
                      <w:color w:val="000000"/>
                      <w:sz w:val="20"/>
                      <w:szCs w:val="20"/>
                    </w:rPr>
                    <w:t xml:space="preserve"> </w:t>
                  </w:r>
                  <w:r w:rsidRPr="00BF7956">
                    <w:rPr>
                      <w:b/>
                      <w:bCs/>
                      <w:color w:val="000000"/>
                      <w:sz w:val="20"/>
                      <w:szCs w:val="20"/>
                    </w:rPr>
                    <w:t xml:space="preserve">Swap-uri valutare care ajung la scadenţă </w:t>
                  </w:r>
                </w:p>
                <w:p w14:paraId="7897C6DD" w14:textId="31C255BF"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total al ieșirilor de numerar generate de ajungerea la scadenţă a tranzacţiilor de swap valutar, precum schimbul valutar aferent cuantumurilor principalului la sfârșitul contractului.</w:t>
                  </w:r>
                </w:p>
              </w:tc>
            </w:tr>
          </w:tbl>
          <w:p w14:paraId="4FD39169"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3A8B838E" w14:textId="77777777" w:rsidTr="00CE67CE">
              <w:tc>
                <w:tcPr>
                  <w:tcW w:w="718" w:type="dxa"/>
                </w:tcPr>
                <w:p w14:paraId="3A70DB02" w14:textId="20779E60" w:rsidR="008E3BA7" w:rsidRPr="00BF7956" w:rsidRDefault="002B7DC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350</w:t>
                  </w:r>
                </w:p>
              </w:tc>
              <w:tc>
                <w:tcPr>
                  <w:tcW w:w="3674" w:type="dxa"/>
                </w:tcPr>
                <w:p w14:paraId="168EA07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1.4</w:t>
                  </w:r>
                  <w:r w:rsidRPr="00BF7956">
                    <w:rPr>
                      <w:color w:val="000000"/>
                      <w:sz w:val="20"/>
                      <w:szCs w:val="20"/>
                    </w:rPr>
                    <w:t xml:space="preserve"> </w:t>
                  </w:r>
                  <w:r w:rsidRPr="00BF7956">
                    <w:rPr>
                      <w:b/>
                      <w:bCs/>
                      <w:color w:val="000000"/>
                      <w:sz w:val="20"/>
                      <w:szCs w:val="20"/>
                    </w:rPr>
                    <w:t xml:space="preserve">Swap-uri valutare care ajung la scadenţă </w:t>
                  </w:r>
                </w:p>
                <w:p w14:paraId="78ADB1D0" w14:textId="3E3B4526" w:rsidR="008E3BA7" w:rsidRPr="00BF7956" w:rsidRDefault="002B7DC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Cuantumul total al ieșirilor de numerar generate de ajungerea la scadență a tranzacțiilor de swap valutar, precum schimbul valutar aferent cuantumurilor principalului la sfârșitul contractului.</w:t>
                  </w:r>
                </w:p>
              </w:tc>
            </w:tr>
          </w:tbl>
          <w:p w14:paraId="027E43BD"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40F94DED" w14:textId="3B5982E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72F53A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DA8A38E" w14:textId="77777777" w:rsidR="008E3BA7" w:rsidRPr="00BF7956" w:rsidRDefault="008E3BA7" w:rsidP="008E3BA7">
            <w:pPr>
              <w:jc w:val="both"/>
              <w:rPr>
                <w:sz w:val="20"/>
                <w:szCs w:val="20"/>
                <w:lang w:val="ro-RO"/>
              </w:rPr>
            </w:pPr>
          </w:p>
        </w:tc>
        <w:tc>
          <w:tcPr>
            <w:tcW w:w="992" w:type="dxa"/>
          </w:tcPr>
          <w:p w14:paraId="3997446B" w14:textId="77777777" w:rsidR="008E3BA7" w:rsidRPr="00BF7956" w:rsidRDefault="008E3BA7" w:rsidP="008E3BA7">
            <w:pPr>
              <w:jc w:val="both"/>
              <w:rPr>
                <w:sz w:val="20"/>
                <w:szCs w:val="20"/>
                <w:lang w:val="ro-RO"/>
              </w:rPr>
            </w:pPr>
          </w:p>
        </w:tc>
      </w:tr>
      <w:tr w:rsidR="008E3BA7" w:rsidRPr="00BF7956" w14:paraId="6CD8DBF0"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7F4E0791" w14:textId="77777777" w:rsidTr="008F566B">
              <w:tc>
                <w:tcPr>
                  <w:tcW w:w="718" w:type="dxa"/>
                </w:tcPr>
                <w:p w14:paraId="491A4FAD" w14:textId="3AFF5EB5" w:rsidR="008E3BA7" w:rsidRPr="00BF7956" w:rsidRDefault="00084E7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360</w:t>
                  </w:r>
                </w:p>
              </w:tc>
              <w:tc>
                <w:tcPr>
                  <w:tcW w:w="3674" w:type="dxa"/>
                </w:tcPr>
                <w:p w14:paraId="06AC9D24" w14:textId="77777777" w:rsidR="00F55715" w:rsidRPr="00BF7956" w:rsidRDefault="00F55715" w:rsidP="008E3BA7">
                  <w:pPr>
                    <w:framePr w:hSpace="180" w:wrap="around" w:vAnchor="text" w:hAnchor="margin" w:y="137"/>
                    <w:rPr>
                      <w:b/>
                      <w:bCs/>
                      <w:sz w:val="20"/>
                      <w:szCs w:val="20"/>
                      <w:lang w:val="ro-MD" w:eastAsia="en-US"/>
                    </w:rPr>
                  </w:pPr>
                  <w:r w:rsidRPr="00BF7956">
                    <w:rPr>
                      <w:b/>
                      <w:bCs/>
                      <w:sz w:val="20"/>
                      <w:szCs w:val="20"/>
                      <w:lang w:val="ro-MD" w:eastAsia="en-US"/>
                    </w:rPr>
                    <w:t xml:space="preserve">1.5 Sume de plătit aferente instrumentelor financiare derivate, altele decât cele raportate la punctul 1.4. </w:t>
                  </w:r>
                </w:p>
                <w:p w14:paraId="6FB821A3" w14:textId="77777777" w:rsidR="008E3BA7" w:rsidRPr="00BF7956" w:rsidRDefault="00F55715" w:rsidP="008E3BA7">
                  <w:pPr>
                    <w:framePr w:hSpace="180" w:wrap="around" w:vAnchor="text" w:hAnchor="margin" w:y="137"/>
                    <w:rPr>
                      <w:sz w:val="20"/>
                      <w:szCs w:val="20"/>
                      <w:lang w:val="ro-MD" w:eastAsia="en-US"/>
                    </w:rPr>
                  </w:pPr>
                  <w:r w:rsidRPr="00BF7956">
                    <w:rPr>
                      <w:sz w:val="20"/>
                      <w:szCs w:val="20"/>
                      <w:lang w:val="ro-MD" w:eastAsia="en-US"/>
                    </w:rPr>
                    <w:t>Cuantumul total al ieșirilor de numerar generate de poziţiile debitoare aferente instrumentelor financiare derivate din contractele enumerate în anexa II la Regulamentul (UE) nr. 575/2013, cu excepţia ieșirilor care rezultă din swap-uri valutare care ajung la scadenţă, care se raportează la punctul 1.4. Cuantumul total trebuie să reflecte sumele de decontare, inclusiv apelurile în marjă nedecontate la data raportării.</w:t>
                  </w:r>
                </w:p>
                <w:p w14:paraId="1513C293" w14:textId="77777777" w:rsidR="00F55715" w:rsidRPr="00BF7956" w:rsidRDefault="00F55715" w:rsidP="008E3BA7">
                  <w:pPr>
                    <w:framePr w:hSpace="180" w:wrap="around" w:vAnchor="text" w:hAnchor="margin" w:y="137"/>
                    <w:rPr>
                      <w:sz w:val="20"/>
                      <w:szCs w:val="20"/>
                      <w:lang w:val="ro-MD" w:eastAsia="en-US"/>
                    </w:rPr>
                  </w:pPr>
                  <w:r w:rsidRPr="00BF7956">
                    <w:rPr>
                      <w:sz w:val="20"/>
                      <w:szCs w:val="20"/>
                      <w:lang w:val="ro-MD" w:eastAsia="en-US"/>
                    </w:rPr>
                    <w:t>Cuantumul total este suma dintre (1) și (2), după cum urmează, în diverse tranșe de timp: 1. fluxurile de numerar și de titluri de valoare legate de instrumente financiare derivate pentru care există un acord de garantare care impune garantarea deplină sau adecvată a expunerilor contrapărţii sunt excluse din formularele privind benzile de scadenţă; toate fluxurile de numerar, de titluri de valoare, de garanţii reale sub formă de numerar și de garanţii reale sub formă de titluri de valoare legate de respectivele instrumente financiare derivate sunt excluse din formulare. Excluderea nu se aplică pentru următoarele: (a) activele eligibile pentru CBC care au fost deja primite sau furnizate în contextul garantării instrumentelor financiare derivate la data de referinţă a raportării (și anume în coloana „Stoc” din secţiunea 3 a formularului privind benzile de scadenţă, dacă nu sunt grevate de sarcini și sunt disponibile pentru a fi grevate de sarcini); (b) fluxurile de numerar și de titluri de valoare în contextul apelurilor în marjă („fluxuri de garanţii sub formă de numerar sau de titluri de valoare”) care trebuie plătite în timp util, dar nu au fost încă decontate. Acestea trebuie să se reflecte la punctele 1.5 „Ieșiri de numerar aferente instrumentelor financiare derivate” și 2.4 „Intrări de numerar aferente instrumentelor financiare derivate” în cazul garanţiilor reale sub formă de numerar, respectiv în secţiunea 3 „Capacitatea de compensare” în cazul garanţiilor reale sub formă de titluri de valoare; (c) instrumentele derivate cu decontare cu livrare fizică (de exemplu, contracte forward pentru aur decontate cu livrare fizică) în cazul în care aceste instrumente derivate sunt garantate integral sau adecvat. Pentru aceste instrumente financiare derivate, în plus faţă de literele (a) și (b) de mai sus, se raportează și fluxul de decontare la decontarea finală (în mod normal, în jurul scadenţei). Fluxul de numerar preconizat se include în tranșa de timp corespunzătoare la punctul 1.5 „Ieșiri de numerar aferente instrumentelor financiare derivate” în cazul unei ieșiri de numerar și la punctul 2.4 „Intrări de numerar aferente instrumentelor financiare derivate” în cazul unei intrări de numerar. Dacă activul decontat cu livrare fizică se va califica drept CBC în secţiunea 3, acest flux se include în tranșa de timp corespunzătoare și în rândul corespunzător din această secţiune. Cuantumul este negativ în cazul unei ieșiri și pozitiv în cazul unei intrări. 2. În cazul intrărilor și ieșirilor de numerar și de titluri de valoare legate de instrumentele financiare derivate pentru care nu există un acord de garantare sau în cazul în care este necesară doar o garantare parţială, se face o distincţie între contractele cu opţionalitate și celelalte contracte: (a) fluxurile legate de instrumentele financiare derivate de tip opţiune se includ numai dacă preţul de exercitare este sub preţul pieţei pentru o opţiune call sau peste preţul pieţei pentru o opţiune put („în bani”). Aceste fluxuri sunt aproximate prin aplicarea ambelor principii următoare: (i) includerea valorii curente de piaţă sau a valorii actualizate nete a contractului ca intrare la punctul 2.4 din formularul privind benzile de scadenţă intitulat „Intrări de numerar aferente instrumentelor financiare derivate” la cea mai îndepărtată dată de exercitare a opţiunii, în cazul în care banca are dreptul de a exercita opţiunea; (ii) includerea valorii curente de piaţă sau a valorii actualizate nete a contractului ca ieșire la punctul 1.5 din formularul privind benzile de scadenţă intitulat „Ieșiri de numerar aferente instrumentelor financiare derivate” la cea mai apropiată dată de exercitare a opţiunii, în cazul în care contrapartea băncii are dreptul de a exercita opţiunea; (b) fluxurile legate de alte contracte decât cele menţionate la litera (a) sunt incluse prin proiecţia fluxurilor de numerar contractuale brute în tranșele de timp respective la punctele 1.5 „Ieșiri de numerar aferente instrumentelor financiare derivative” și 2.4 „Intrări de numerar aferente instrumentelor financiare derivate” și a fluxurilor contractuale de titluri de valoare lichide la secţiunea din formularul privind benzile de scadenţă intitulată „Capacitatea de compensare”, folosind ratele forward implicite de pe piaţa actuală aplicabile la data raportării în cazul în care cuantumurile nu sunt încă stabilite.</w:t>
                  </w:r>
                </w:p>
                <w:p w14:paraId="64A17CD5" w14:textId="77777777" w:rsidR="004F0BE0" w:rsidRPr="00BF7956" w:rsidRDefault="00F55715" w:rsidP="008E3BA7">
                  <w:pPr>
                    <w:framePr w:hSpace="180" w:wrap="around" w:vAnchor="text" w:hAnchor="margin" w:y="137"/>
                    <w:rPr>
                      <w:sz w:val="20"/>
                      <w:szCs w:val="20"/>
                      <w:lang w:val="ro-MD" w:eastAsia="en-US"/>
                    </w:rPr>
                  </w:pPr>
                  <w:r w:rsidRPr="00BF7956">
                    <w:rPr>
                      <w:sz w:val="20"/>
                      <w:szCs w:val="20"/>
                      <w:lang w:val="ro-MD" w:eastAsia="en-US"/>
                    </w:rPr>
                    <w:t xml:space="preserve">În conformitate cu cele de mai sus: În ceea ce privește instrumentele financiare derivate menţionate la punctul 1, restituirea garanţiilor reale care au fost deja primite sau plătite nu se raportează în formularul privind benzile de scadenţă. În ceea ce privește instrumentele financiare derivate menţionate la punctul 2, restituirea garanţiilor reale care au fost deja primite sau plătite se raportează în secţiunea 3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în rândul 1.6 „Alte ieșiri” (rândul 2.6 „Alte intrări”) în tranșa de timp corespunzătoare. </w:t>
                  </w:r>
                </w:p>
                <w:p w14:paraId="116F8BAC" w14:textId="106A99F8" w:rsidR="00F55715" w:rsidRPr="00BF7956" w:rsidRDefault="00F55715" w:rsidP="008E3BA7">
                  <w:pPr>
                    <w:framePr w:hSpace="180" w:wrap="around" w:vAnchor="text" w:hAnchor="margin" w:y="137"/>
                    <w:rPr>
                      <w:sz w:val="20"/>
                      <w:szCs w:val="20"/>
                      <w:lang w:val="ro-MD" w:eastAsia="en-US"/>
                    </w:rPr>
                  </w:pPr>
                  <w:r w:rsidRPr="00BF7956">
                    <w:rPr>
                      <w:sz w:val="20"/>
                      <w:szCs w:val="20"/>
                      <w:lang w:val="ro-MD" w:eastAsia="en-US"/>
                    </w:rPr>
                    <w:t>În sensul prezentului rând, o situaţie în care garanţia reală schimbată cu o contraparte nu este perfect egală cu modificările de valoare ale instrumentului financiar derivat este considerată totuși ca fiind garantată adecvat dacă diferenţa nu depășește valoarea minimă de transfer.</w:t>
                  </w:r>
                </w:p>
              </w:tc>
            </w:tr>
          </w:tbl>
          <w:p w14:paraId="362DACA6"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3F657CCA" w14:textId="77777777" w:rsidTr="00CE67CE">
              <w:tc>
                <w:tcPr>
                  <w:tcW w:w="718" w:type="dxa"/>
                </w:tcPr>
                <w:p w14:paraId="310BDA07" w14:textId="48020445" w:rsidR="008E3BA7" w:rsidRPr="00BF7956" w:rsidRDefault="004F0BE0"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360</w:t>
                  </w:r>
                </w:p>
              </w:tc>
              <w:tc>
                <w:tcPr>
                  <w:tcW w:w="3674" w:type="dxa"/>
                </w:tcPr>
                <w:p w14:paraId="66A08D24" w14:textId="77777777" w:rsidR="004F0BE0" w:rsidRPr="00BF7956" w:rsidRDefault="004F0BE0" w:rsidP="004F0BE0">
                  <w:pPr>
                    <w:framePr w:hSpace="180" w:wrap="around" w:vAnchor="text" w:hAnchor="margin" w:y="137"/>
                    <w:rPr>
                      <w:b/>
                      <w:bCs/>
                      <w:sz w:val="20"/>
                      <w:szCs w:val="20"/>
                      <w:lang w:val="ro-MD" w:eastAsia="en-US"/>
                    </w:rPr>
                  </w:pPr>
                  <w:r w:rsidRPr="00BF7956">
                    <w:rPr>
                      <w:b/>
                      <w:bCs/>
                      <w:sz w:val="20"/>
                      <w:szCs w:val="20"/>
                      <w:lang w:val="ro-MD" w:eastAsia="en-US"/>
                    </w:rPr>
                    <w:t>1.5 Sume de plătit aferente instrumentelor financiare derivate, altele decât cele raportate la punctul 1.4.</w:t>
                  </w:r>
                </w:p>
                <w:p w14:paraId="38537E70" w14:textId="794E32EA"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 xml:space="preserve">Cuantumul total al ieșirilor de numerar generate de pozițiile debitoare aferente instrumentelor financiare derivate din contractele enumerate în </w:t>
                  </w:r>
                  <w:r w:rsidR="00BB2562">
                    <w:rPr>
                      <w:sz w:val="20"/>
                      <w:szCs w:val="20"/>
                      <w:lang w:val="ro-MD" w:eastAsia="en-US"/>
                    </w:rPr>
                    <w:t>a</w:t>
                  </w:r>
                  <w:r w:rsidRPr="00BF7956">
                    <w:rPr>
                      <w:sz w:val="20"/>
                      <w:szCs w:val="20"/>
                      <w:lang w:val="ro-MD" w:eastAsia="en-US"/>
                    </w:rPr>
                    <w:t>nexa nr.1 la Regulamentul nr.114/2018 cu privire la tratamentul riscului de piaţă potrivit abordării standardizate, cu excepția ieșirilor care rezultă din ajungerea la scadență a operațiunilor de swap valutar, care se raportează la punctul 1.4.</w:t>
                  </w:r>
                </w:p>
                <w:p w14:paraId="762658CA" w14:textId="77777777"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Cuantumul total trebuie să reflecte sumele de decontare, inclusiv apelurile în marjă nedecontate la data raportării.</w:t>
                  </w:r>
                </w:p>
                <w:p w14:paraId="38292FE0" w14:textId="77777777"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Cuantumul total este suma dintre (1) și (2), după cum urmează, în diverse tranșe de timp:</w:t>
                  </w:r>
                </w:p>
                <w:p w14:paraId="1F1E6CD5" w14:textId="78314D8E"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(1)  fluxurile de numerar și de titluri de valoare legate de instrumente financiare derivate pentru care există un acord de garantare care impune garantarea deplină sau adecvată a expunerilor contrapărții sunt excluse din formularele privind benzile de scadență; toate fluxurile de numerar, de titluri de valoare, de garanții reale sub formă de numerar și de garanții reale sub formă de titluri de valoare legate de respectivele instrumente financiare derivate sunt excluse din formulare. Stocurile de garanții sub formă de numerar și de titluri de valoare care au fost deja primite sau furnizate în contextul garantării instrumentelor financiare derivate nu trebuie incluse în coloana „Stoc” din secțiunea</w:t>
                  </w:r>
                  <w:r w:rsidR="00BB2562">
                    <w:rPr>
                      <w:sz w:val="20"/>
                      <w:szCs w:val="20"/>
                      <w:lang w:val="ro-MD" w:eastAsia="en-US"/>
                    </w:rPr>
                    <w:t xml:space="preserve"> a</w:t>
                  </w:r>
                  <w:r w:rsidRPr="00BF7956">
                    <w:rPr>
                      <w:sz w:val="20"/>
                      <w:szCs w:val="20"/>
                      <w:lang w:val="ro-MD" w:eastAsia="en-US"/>
                    </w:rPr>
                    <w:t xml:space="preserve"> 3</w:t>
                  </w:r>
                  <w:r w:rsidR="00BB2562">
                    <w:rPr>
                      <w:sz w:val="20"/>
                      <w:szCs w:val="20"/>
                      <w:lang w:val="ro-MD" w:eastAsia="en-US"/>
                    </w:rPr>
                    <w:t>-</w:t>
                  </w:r>
                  <w:r w:rsidRPr="00BF7956">
                    <w:rPr>
                      <w:sz w:val="20"/>
                      <w:szCs w:val="20"/>
                      <w:lang w:val="ro-MD" w:eastAsia="en-US"/>
                    </w:rPr>
                    <w:t xml:space="preserve">a </w:t>
                  </w:r>
                  <w:r w:rsidR="00BB2562">
                    <w:rPr>
                      <w:sz w:val="20"/>
                      <w:szCs w:val="20"/>
                      <w:lang w:val="ro-MD" w:eastAsia="en-US"/>
                    </w:rPr>
                    <w:t xml:space="preserve">a </w:t>
                  </w:r>
                  <w:r w:rsidRPr="00BF7956">
                    <w:rPr>
                      <w:sz w:val="20"/>
                      <w:szCs w:val="20"/>
                      <w:lang w:val="ro-MD" w:eastAsia="en-US"/>
                    </w:rPr>
                    <w:t>formularului privind benzile de scadență, care acoperă capacitatea de compensare, cu excepția fluxurilor de numerar și de titluri de valoare în contextul apelurilor în marjă („fluxuri de garanții sub formă de numerar sau de titluri de valoare”) care trebuie plătite în timp util, dar nu au fost încă decontate. Acestea din urmă trebuie să se reflecte la punctele 1.5 „Sume de plătit aferente instrumentelor financiare derivate, altele decât cele raportate la punctul 1.4” și 2.4 „Sume de primit aferente instrumentelor financiare derivate, altele decât cele raportate la punctul 2.3” în cazul garanțiilor reale sub formă de numerar, respectiv în secțiunea</w:t>
                  </w:r>
                  <w:r w:rsidR="00BB2562">
                    <w:rPr>
                      <w:sz w:val="20"/>
                      <w:szCs w:val="20"/>
                      <w:lang w:val="ro-MD" w:eastAsia="en-US"/>
                    </w:rPr>
                    <w:t xml:space="preserve"> a</w:t>
                  </w:r>
                  <w:r w:rsidRPr="00BF7956">
                    <w:rPr>
                      <w:sz w:val="20"/>
                      <w:szCs w:val="20"/>
                      <w:lang w:val="ro-MD" w:eastAsia="en-US"/>
                    </w:rPr>
                    <w:t xml:space="preserve"> 3</w:t>
                  </w:r>
                  <w:r w:rsidR="00BB2562">
                    <w:rPr>
                      <w:sz w:val="20"/>
                      <w:szCs w:val="20"/>
                      <w:lang w:val="ro-MD" w:eastAsia="en-US"/>
                    </w:rPr>
                    <w:t>-a</w:t>
                  </w:r>
                  <w:r w:rsidRPr="00BF7956">
                    <w:rPr>
                      <w:sz w:val="20"/>
                      <w:szCs w:val="20"/>
                      <w:lang w:val="ro-MD" w:eastAsia="en-US"/>
                    </w:rPr>
                    <w:t xml:space="preserve"> „Capacitatea de compensare” în cazul garanțiilor sub formă de titluri de valoare;  </w:t>
                  </w:r>
                </w:p>
                <w:p w14:paraId="6D41F3A7" w14:textId="77777777"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(2)  în cazul intrărilor și ieșirilor de numerar și de titluri de valoare legate de instrumentele financiare derivate pentru care nu există un acord de garantare sau în cazul în care este necesară doar o garantare parțială, se face o distincție între contractele cu opționalitate și celelalte contracte:</w:t>
                  </w:r>
                </w:p>
                <w:p w14:paraId="162D4A6D" w14:textId="1118735F"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 xml:space="preserve">(a)  fluxurile legate de instrumentele financiare derivate de tip opțiune se includ numai dacă prețul de exercitare este sub prețul pieței pentru o opțiune call sau peste prețul pieței pentru o opțiune put („în bani”). Aceste fluxuri sunt aproximate prin aplicarea </w:t>
                  </w:r>
                  <w:r w:rsidR="00BB2562">
                    <w:rPr>
                      <w:sz w:val="20"/>
                      <w:szCs w:val="20"/>
                      <w:lang w:val="ro-MD" w:eastAsia="en-US"/>
                    </w:rPr>
                    <w:t>următoarelor</w:t>
                  </w:r>
                  <w:r w:rsidRPr="00BF7956">
                    <w:rPr>
                      <w:sz w:val="20"/>
                      <w:szCs w:val="20"/>
                      <w:lang w:val="ro-MD" w:eastAsia="en-US"/>
                    </w:rPr>
                    <w:t xml:space="preserve"> principii:</w:t>
                  </w:r>
                </w:p>
                <w:p w14:paraId="628CFBB5" w14:textId="77777777"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(i)  includerea valorii curente de piață sau a valorii actualizate nete a contractului ca intrare la punctul 2.4 din formularul privind benzile de scadență intitulat „Sume de primit aferente instrumentelor financiare derivate, altele decât cele raportate la punctul 2.3” la cea mai îndepărtată dată de exercitare a opțiunii, în cazul în care banca are dreptul de a exercita opțiunea;</w:t>
                  </w:r>
                </w:p>
                <w:p w14:paraId="55A12CDD" w14:textId="77777777"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(ii)  includerea valorii curente de piață sau a valorii actualizate nete a contractului ca ieșire la punctul 1.5 din formularul privind benzile de scadență intitulat „Sume de plătit aferente instrumentelor financiare derivate, altele decât cele raportate la punctul 1.4” la cea mai apropiată dată de exercitare a opțiunii, în cazul în care contrapartea băncii are dreptul de a exercita opțiunea;</w:t>
                  </w:r>
                </w:p>
                <w:p w14:paraId="2342F985" w14:textId="6945C253"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(b)  fluxurile legate de alte contracte decât cele menționate la litera (a) sunt incluse prin proiecția fluxurilor de numerar contractuale brute în tranșele de timp respective la punctele 1.5 „Sume de plătit aferente instrumentelor financiare derivate, altele decât cele raportate la punctul 1.4” și 2.4 „Sume de primit aferente instrumentelor financiare derivate, altele decât cele raportate la punctul 2.3” și a fluxurilor contractuale de titluri de valoare lichide la secțiunea din formularul privind benzile de scadență intitulată „Capacitatea de compensare”, folosind ratele forward implicite de pe piața actuală aplicabile la data raportării</w:t>
                  </w:r>
                  <w:r w:rsidR="00817FE6">
                    <w:rPr>
                      <w:sz w:val="20"/>
                      <w:szCs w:val="20"/>
                      <w:lang w:val="ro-MD" w:eastAsia="en-US"/>
                    </w:rPr>
                    <w:t>,</w:t>
                  </w:r>
                  <w:r w:rsidRPr="00BF7956">
                    <w:rPr>
                      <w:sz w:val="20"/>
                      <w:szCs w:val="20"/>
                      <w:lang w:val="ro-MD" w:eastAsia="en-US"/>
                    </w:rPr>
                    <w:t xml:space="preserve"> în cazul în care cuantumurile nu sunt încă stabilite.</w:t>
                  </w:r>
                </w:p>
                <w:p w14:paraId="63228C19" w14:textId="0382C82F" w:rsidR="004F0BE0" w:rsidRPr="00BF7956" w:rsidRDefault="004F0BE0" w:rsidP="004F0BE0">
                  <w:pPr>
                    <w:framePr w:hSpace="180" w:wrap="around" w:vAnchor="text" w:hAnchor="margin" w:y="137"/>
                    <w:rPr>
                      <w:sz w:val="20"/>
                      <w:szCs w:val="20"/>
                      <w:lang w:val="ro-MD" w:eastAsia="en-US"/>
                    </w:rPr>
                  </w:pPr>
                  <w:r w:rsidRPr="00BF7956">
                    <w:rPr>
                      <w:sz w:val="20"/>
                      <w:szCs w:val="20"/>
                      <w:lang w:val="ro-MD" w:eastAsia="en-US"/>
                    </w:rPr>
                    <w:t xml:space="preserve">În conformitate cu cele de mai sus: În ceea ce privește instrumentele financiare derivate menţionate la punctul 1, restituirea garanţiilor reale care au fost deja primite sau plătite nu se raportează în formularul privind benzile de scadenţă. În ceea ce privește instrumentele financiare derivate menţionate la punctul 2, restituirea garanţiilor reale care au fost deja primite sau plătite se raportează în secţiunea </w:t>
                  </w:r>
                  <w:r w:rsidR="00817FE6">
                    <w:rPr>
                      <w:sz w:val="20"/>
                      <w:szCs w:val="20"/>
                      <w:lang w:val="ro-MD" w:eastAsia="en-US"/>
                    </w:rPr>
                    <w:t xml:space="preserve">a </w:t>
                  </w:r>
                  <w:r w:rsidRPr="00BF7956">
                    <w:rPr>
                      <w:sz w:val="20"/>
                      <w:szCs w:val="20"/>
                      <w:lang w:val="ro-MD" w:eastAsia="en-US"/>
                    </w:rPr>
                    <w:t>3</w:t>
                  </w:r>
                  <w:r w:rsidR="00817FE6">
                    <w:rPr>
                      <w:sz w:val="20"/>
                      <w:szCs w:val="20"/>
                      <w:lang w:val="ro-MD" w:eastAsia="en-US"/>
                    </w:rPr>
                    <w:t>-a</w:t>
                  </w:r>
                  <w:r w:rsidRPr="00BF7956">
                    <w:rPr>
                      <w:sz w:val="20"/>
                      <w:szCs w:val="20"/>
                      <w:lang w:val="ro-MD" w:eastAsia="en-US"/>
                    </w:rPr>
                    <w:t xml:space="preserve">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w:t>
                  </w:r>
                  <w:r w:rsidR="00817FE6">
                    <w:rPr>
                      <w:sz w:val="20"/>
                      <w:szCs w:val="20"/>
                      <w:lang w:val="ro-MD" w:eastAsia="en-US"/>
                    </w:rPr>
                    <w:t>la</w:t>
                  </w:r>
                  <w:r w:rsidRPr="00BF7956">
                    <w:rPr>
                      <w:sz w:val="20"/>
                      <w:szCs w:val="20"/>
                      <w:lang w:val="ro-MD" w:eastAsia="en-US"/>
                    </w:rPr>
                    <w:t xml:space="preserve"> punctul 1.6 „Alte ieșiri” (punctul 2.6 „Alte intrări”) în tranșa de timp corespunzătoare. În sensul prezentului rând, o situaţie în care garanţia reală schimbată cu o contraparte nu este perfect egală cu modificările de valoare ale instrumentului financiar derivat este considerată totuși ca fiind garantată adecvat</w:t>
                  </w:r>
                  <w:r w:rsidR="00817FE6">
                    <w:rPr>
                      <w:sz w:val="20"/>
                      <w:szCs w:val="20"/>
                      <w:lang w:val="ro-MD" w:eastAsia="en-US"/>
                    </w:rPr>
                    <w:t>,</w:t>
                  </w:r>
                  <w:r w:rsidRPr="00BF7956">
                    <w:rPr>
                      <w:sz w:val="20"/>
                      <w:szCs w:val="20"/>
                      <w:lang w:val="ro-MD" w:eastAsia="en-US"/>
                    </w:rPr>
                    <w:t xml:space="preserve"> dacă diferenţa nu depășește valoarea minimă de transfer.</w:t>
                  </w:r>
                </w:p>
              </w:tc>
            </w:tr>
          </w:tbl>
          <w:p w14:paraId="114527FC"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51BB38F" w14:textId="5D60018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2C4339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BFBFC00" w14:textId="77777777" w:rsidR="008E3BA7" w:rsidRPr="00BF7956" w:rsidRDefault="008E3BA7" w:rsidP="008E3BA7">
            <w:pPr>
              <w:jc w:val="both"/>
              <w:rPr>
                <w:sz w:val="20"/>
                <w:szCs w:val="20"/>
                <w:lang w:val="ro-RO"/>
              </w:rPr>
            </w:pPr>
          </w:p>
        </w:tc>
        <w:tc>
          <w:tcPr>
            <w:tcW w:w="992" w:type="dxa"/>
          </w:tcPr>
          <w:p w14:paraId="7CFF6529" w14:textId="77777777" w:rsidR="008E3BA7" w:rsidRPr="00BF7956" w:rsidRDefault="008E3BA7" w:rsidP="008E3BA7">
            <w:pPr>
              <w:jc w:val="both"/>
              <w:rPr>
                <w:sz w:val="20"/>
                <w:szCs w:val="20"/>
                <w:lang w:val="ro-RO"/>
              </w:rPr>
            </w:pPr>
          </w:p>
        </w:tc>
      </w:tr>
      <w:tr w:rsidR="008E3BA7" w:rsidRPr="00BF7956" w14:paraId="44BB7962" w14:textId="77777777" w:rsidTr="00C25F84">
        <w:tc>
          <w:tcPr>
            <w:tcW w:w="4576" w:type="dxa"/>
          </w:tcPr>
          <w:tbl>
            <w:tblPr>
              <w:tblStyle w:val="TableGrid"/>
              <w:tblW w:w="4400" w:type="dxa"/>
              <w:tblLayout w:type="fixed"/>
              <w:tblLook w:val="04A0" w:firstRow="1" w:lastRow="0" w:firstColumn="1" w:lastColumn="0" w:noHBand="0" w:noVBand="1"/>
            </w:tblPr>
            <w:tblGrid>
              <w:gridCol w:w="726"/>
              <w:gridCol w:w="3674"/>
            </w:tblGrid>
            <w:tr w:rsidR="008E3BA7" w:rsidRPr="002C43F1" w14:paraId="7B193FE3" w14:textId="77777777" w:rsidTr="008F566B">
              <w:trPr>
                <w:trHeight w:val="1554"/>
              </w:trPr>
              <w:tc>
                <w:tcPr>
                  <w:tcW w:w="726" w:type="dxa"/>
                </w:tcPr>
                <w:p w14:paraId="6F854DD1" w14:textId="4415B378" w:rsidR="008E3BA7" w:rsidRPr="00BF7956" w:rsidRDefault="009B102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370</w:t>
                  </w:r>
                </w:p>
              </w:tc>
              <w:tc>
                <w:tcPr>
                  <w:tcW w:w="3674" w:type="dxa"/>
                </w:tcPr>
                <w:p w14:paraId="67BD4D92"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1.6</w:t>
                  </w:r>
                  <w:r w:rsidRPr="00BF7956">
                    <w:rPr>
                      <w:color w:val="000000"/>
                      <w:sz w:val="20"/>
                      <w:szCs w:val="20"/>
                    </w:rPr>
                    <w:t xml:space="preserve"> </w:t>
                  </w:r>
                  <w:r w:rsidRPr="00BF7956">
                    <w:rPr>
                      <w:b/>
                      <w:bCs/>
                      <w:color w:val="000000"/>
                      <w:sz w:val="20"/>
                      <w:szCs w:val="20"/>
                    </w:rPr>
                    <w:t xml:space="preserve">Alte ieșiri </w:t>
                  </w:r>
                </w:p>
                <w:p w14:paraId="2431D994" w14:textId="77777777" w:rsidR="009B1021" w:rsidRPr="00BF7956" w:rsidRDefault="009B1021" w:rsidP="009B1021">
                  <w:pPr>
                    <w:pStyle w:val="CM4"/>
                    <w:framePr w:hSpace="180" w:wrap="around" w:vAnchor="text" w:hAnchor="margin" w:y="137"/>
                    <w:spacing w:before="60" w:after="60"/>
                    <w:rPr>
                      <w:color w:val="000000"/>
                      <w:sz w:val="20"/>
                      <w:szCs w:val="20"/>
                    </w:rPr>
                  </w:pPr>
                  <w:r w:rsidRPr="00BF7956">
                    <w:rPr>
                      <w:color w:val="000000"/>
                      <w:sz w:val="20"/>
                      <w:szCs w:val="20"/>
                    </w:rPr>
                    <w:t xml:space="preserve">Cuantumul total al tuturor celorlalte ieșiri de numerar neraportate e la punctul 1.1, </w:t>
                  </w:r>
                </w:p>
                <w:p w14:paraId="68074CC6" w14:textId="2774BA24" w:rsidR="008E3BA7" w:rsidRPr="00BF7956" w:rsidRDefault="009B1021" w:rsidP="009B1021">
                  <w:pPr>
                    <w:pStyle w:val="CM4"/>
                    <w:framePr w:hSpace="180" w:wrap="around" w:vAnchor="text" w:hAnchor="margin" w:y="137"/>
                    <w:spacing w:before="60" w:after="60"/>
                    <w:rPr>
                      <w:i/>
                      <w:iCs/>
                      <w:color w:val="000000"/>
                      <w:sz w:val="20"/>
                      <w:szCs w:val="20"/>
                      <w:lang w:val="ro-RO"/>
                    </w:rPr>
                  </w:pPr>
                  <w:r w:rsidRPr="00BF7956">
                    <w:rPr>
                      <w:color w:val="000000"/>
                      <w:sz w:val="20"/>
                      <w:szCs w:val="20"/>
                    </w:rPr>
                    <w:t>1.2, 1.3, 1.4 sau 1.5. Ieșirile contingente nu se raportează aici.</w:t>
                  </w:r>
                </w:p>
              </w:tc>
            </w:tr>
          </w:tbl>
          <w:p w14:paraId="7537F4B4"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00" w:type="dxa"/>
              <w:tblLayout w:type="fixed"/>
              <w:tblLook w:val="04A0" w:firstRow="1" w:lastRow="0" w:firstColumn="1" w:lastColumn="0" w:noHBand="0" w:noVBand="1"/>
            </w:tblPr>
            <w:tblGrid>
              <w:gridCol w:w="726"/>
              <w:gridCol w:w="3674"/>
            </w:tblGrid>
            <w:tr w:rsidR="008E3BA7" w:rsidRPr="002C43F1" w14:paraId="7B545EE4" w14:textId="77777777" w:rsidTr="00CE67CE">
              <w:trPr>
                <w:trHeight w:val="1554"/>
              </w:trPr>
              <w:tc>
                <w:tcPr>
                  <w:tcW w:w="726" w:type="dxa"/>
                </w:tcPr>
                <w:p w14:paraId="60959822" w14:textId="0F92EBDF" w:rsidR="008E3BA7" w:rsidRPr="00BF7956" w:rsidRDefault="009B102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370</w:t>
                  </w:r>
                </w:p>
              </w:tc>
              <w:tc>
                <w:tcPr>
                  <w:tcW w:w="3674" w:type="dxa"/>
                </w:tcPr>
                <w:p w14:paraId="65FA4AB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1.6</w:t>
                  </w:r>
                  <w:r w:rsidRPr="00BF7956">
                    <w:rPr>
                      <w:color w:val="000000"/>
                      <w:sz w:val="20"/>
                      <w:szCs w:val="20"/>
                    </w:rPr>
                    <w:t xml:space="preserve"> </w:t>
                  </w:r>
                  <w:r w:rsidRPr="00BF7956">
                    <w:rPr>
                      <w:b/>
                      <w:bCs/>
                      <w:color w:val="000000"/>
                      <w:sz w:val="20"/>
                      <w:szCs w:val="20"/>
                    </w:rPr>
                    <w:t xml:space="preserve">Alte ieșiri </w:t>
                  </w:r>
                </w:p>
                <w:p w14:paraId="419E59EE" w14:textId="16954F22" w:rsidR="009B1021" w:rsidRPr="00BF7956" w:rsidRDefault="009B1021" w:rsidP="009B1021">
                  <w:pPr>
                    <w:pStyle w:val="CM4"/>
                    <w:framePr w:hSpace="180" w:wrap="around" w:vAnchor="text" w:hAnchor="margin" w:y="137"/>
                    <w:spacing w:before="60" w:after="60"/>
                    <w:rPr>
                      <w:color w:val="000000"/>
                      <w:sz w:val="20"/>
                      <w:szCs w:val="20"/>
                    </w:rPr>
                  </w:pPr>
                  <w:r w:rsidRPr="00BF7956">
                    <w:rPr>
                      <w:color w:val="000000"/>
                      <w:sz w:val="20"/>
                      <w:szCs w:val="20"/>
                    </w:rPr>
                    <w:t>Cuantumul tuturor celorlalte ieșiri de numerar neraportate la punct</w:t>
                  </w:r>
                  <w:r w:rsidR="00817FE6">
                    <w:rPr>
                      <w:color w:val="000000"/>
                      <w:sz w:val="20"/>
                      <w:szCs w:val="20"/>
                    </w:rPr>
                    <w:t>e</w:t>
                  </w:r>
                  <w:r w:rsidRPr="00BF7956">
                    <w:rPr>
                      <w:color w:val="000000"/>
                      <w:sz w:val="20"/>
                      <w:szCs w:val="20"/>
                    </w:rPr>
                    <w:t>l</w:t>
                  </w:r>
                  <w:r w:rsidR="00817FE6">
                    <w:rPr>
                      <w:color w:val="000000"/>
                      <w:sz w:val="20"/>
                      <w:szCs w:val="20"/>
                    </w:rPr>
                    <w:t>e</w:t>
                  </w:r>
                  <w:r w:rsidRPr="00BF7956">
                    <w:rPr>
                      <w:color w:val="000000"/>
                      <w:sz w:val="20"/>
                      <w:szCs w:val="20"/>
                    </w:rPr>
                    <w:t xml:space="preserve"> 1.1, </w:t>
                  </w:r>
                </w:p>
                <w:p w14:paraId="4E10F358" w14:textId="72ECE104" w:rsidR="008E3BA7" w:rsidRPr="00BF7956" w:rsidRDefault="009B1021" w:rsidP="009B1021">
                  <w:pPr>
                    <w:pStyle w:val="CM4"/>
                    <w:framePr w:hSpace="180" w:wrap="around" w:vAnchor="text" w:hAnchor="margin" w:y="137"/>
                    <w:spacing w:before="60" w:after="60"/>
                    <w:rPr>
                      <w:i/>
                      <w:iCs/>
                      <w:color w:val="000000"/>
                      <w:sz w:val="20"/>
                      <w:szCs w:val="20"/>
                      <w:lang w:val="ro-RO"/>
                    </w:rPr>
                  </w:pPr>
                  <w:r w:rsidRPr="00BF7956">
                    <w:rPr>
                      <w:color w:val="000000"/>
                      <w:sz w:val="20"/>
                      <w:szCs w:val="20"/>
                    </w:rPr>
                    <w:t>1.2, 1.3, 1.4 sau 1.5. Ieșirile contingente nu se raportează aici.</w:t>
                  </w:r>
                </w:p>
              </w:tc>
            </w:tr>
          </w:tbl>
          <w:p w14:paraId="7EB3A1D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C54F0A7" w14:textId="30510B1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1A1030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8FDB42D" w14:textId="77777777" w:rsidR="008E3BA7" w:rsidRPr="00BF7956" w:rsidRDefault="008E3BA7" w:rsidP="008E3BA7">
            <w:pPr>
              <w:jc w:val="both"/>
              <w:rPr>
                <w:sz w:val="20"/>
                <w:szCs w:val="20"/>
                <w:lang w:val="ro-RO"/>
              </w:rPr>
            </w:pPr>
          </w:p>
        </w:tc>
        <w:tc>
          <w:tcPr>
            <w:tcW w:w="992" w:type="dxa"/>
          </w:tcPr>
          <w:p w14:paraId="47F608C6" w14:textId="77777777" w:rsidR="008E3BA7" w:rsidRPr="00BF7956" w:rsidRDefault="008E3BA7" w:rsidP="008E3BA7">
            <w:pPr>
              <w:jc w:val="both"/>
              <w:rPr>
                <w:sz w:val="20"/>
                <w:szCs w:val="20"/>
                <w:lang w:val="ro-RO"/>
              </w:rPr>
            </w:pPr>
          </w:p>
        </w:tc>
      </w:tr>
      <w:tr w:rsidR="008E3BA7" w:rsidRPr="00BF7956" w14:paraId="0A5CA154" w14:textId="77777777" w:rsidTr="00C25F84">
        <w:tc>
          <w:tcPr>
            <w:tcW w:w="4576" w:type="dxa"/>
          </w:tcPr>
          <w:tbl>
            <w:tblPr>
              <w:tblStyle w:val="TableGrid"/>
              <w:tblW w:w="4395" w:type="dxa"/>
              <w:tblLayout w:type="fixed"/>
              <w:tblLook w:val="04A0" w:firstRow="1" w:lastRow="0" w:firstColumn="1" w:lastColumn="0" w:noHBand="0" w:noVBand="1"/>
            </w:tblPr>
            <w:tblGrid>
              <w:gridCol w:w="714"/>
              <w:gridCol w:w="3681"/>
            </w:tblGrid>
            <w:tr w:rsidR="008E3BA7" w:rsidRPr="002C43F1" w14:paraId="1F41BDF6" w14:textId="77777777" w:rsidTr="00702C6E">
              <w:tc>
                <w:tcPr>
                  <w:tcW w:w="714" w:type="dxa"/>
                </w:tcPr>
                <w:p w14:paraId="12B4E041" w14:textId="04814354" w:rsidR="008E3BA7" w:rsidRPr="00BF7956" w:rsidRDefault="009B102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380</w:t>
                  </w:r>
                </w:p>
              </w:tc>
              <w:tc>
                <w:tcPr>
                  <w:tcW w:w="3681" w:type="dxa"/>
                </w:tcPr>
                <w:p w14:paraId="49E20DE1"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1.7</w:t>
                  </w:r>
                  <w:r w:rsidRPr="00BF7956">
                    <w:rPr>
                      <w:color w:val="000000"/>
                      <w:sz w:val="20"/>
                      <w:szCs w:val="20"/>
                    </w:rPr>
                    <w:t xml:space="preserve"> </w:t>
                  </w:r>
                  <w:r w:rsidRPr="00BF7956">
                    <w:rPr>
                      <w:b/>
                      <w:bCs/>
                      <w:color w:val="000000"/>
                      <w:sz w:val="20"/>
                      <w:szCs w:val="20"/>
                    </w:rPr>
                    <w:t xml:space="preserve">Total ieșiri </w:t>
                  </w:r>
                </w:p>
                <w:p w14:paraId="400BC999" w14:textId="2A29C94C" w:rsidR="008E3BA7" w:rsidRPr="00BF7956" w:rsidRDefault="009B1021" w:rsidP="008E3BA7">
                  <w:pPr>
                    <w:pStyle w:val="CM4"/>
                    <w:framePr w:hSpace="180" w:wrap="around" w:vAnchor="text" w:hAnchor="margin" w:y="137"/>
                    <w:spacing w:before="60" w:after="60"/>
                    <w:rPr>
                      <w:color w:val="000000"/>
                      <w:sz w:val="20"/>
                      <w:szCs w:val="20"/>
                    </w:rPr>
                  </w:pPr>
                  <w:r w:rsidRPr="00BF7956">
                    <w:rPr>
                      <w:color w:val="000000"/>
                      <w:sz w:val="20"/>
                      <w:szCs w:val="20"/>
                    </w:rPr>
                    <w:t>Suma ieșirilor raportate la punctele 1.1, 1.2, 1.3, 1.4, 1.5 și 1.6.</w:t>
                  </w:r>
                </w:p>
              </w:tc>
            </w:tr>
          </w:tbl>
          <w:p w14:paraId="08D09A34"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5" w:type="dxa"/>
              <w:tblLayout w:type="fixed"/>
              <w:tblLook w:val="04A0" w:firstRow="1" w:lastRow="0" w:firstColumn="1" w:lastColumn="0" w:noHBand="0" w:noVBand="1"/>
            </w:tblPr>
            <w:tblGrid>
              <w:gridCol w:w="714"/>
              <w:gridCol w:w="3681"/>
            </w:tblGrid>
            <w:tr w:rsidR="008E3BA7" w:rsidRPr="002C43F1" w14:paraId="74A53394" w14:textId="77777777" w:rsidTr="00B47C2D">
              <w:tc>
                <w:tcPr>
                  <w:tcW w:w="714" w:type="dxa"/>
                </w:tcPr>
                <w:p w14:paraId="5C7FAF5A" w14:textId="6E009E24" w:rsidR="008E3BA7" w:rsidRPr="00BF7956" w:rsidRDefault="009B102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380</w:t>
                  </w:r>
                </w:p>
              </w:tc>
              <w:tc>
                <w:tcPr>
                  <w:tcW w:w="3681" w:type="dxa"/>
                </w:tcPr>
                <w:p w14:paraId="297706E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1.7</w:t>
                  </w:r>
                  <w:r w:rsidRPr="00BF7956">
                    <w:rPr>
                      <w:color w:val="000000"/>
                      <w:sz w:val="20"/>
                      <w:szCs w:val="20"/>
                    </w:rPr>
                    <w:t xml:space="preserve"> </w:t>
                  </w:r>
                  <w:r w:rsidRPr="00BF7956">
                    <w:rPr>
                      <w:b/>
                      <w:bCs/>
                      <w:color w:val="000000"/>
                      <w:sz w:val="20"/>
                      <w:szCs w:val="20"/>
                    </w:rPr>
                    <w:t xml:space="preserve">Total ieșiri </w:t>
                  </w:r>
                </w:p>
                <w:p w14:paraId="5650CBBF" w14:textId="1F69A2F9" w:rsidR="008E3BA7" w:rsidRPr="00BF7956" w:rsidRDefault="009B1021" w:rsidP="008E3BA7">
                  <w:pPr>
                    <w:pStyle w:val="CM4"/>
                    <w:framePr w:hSpace="180" w:wrap="around" w:vAnchor="text" w:hAnchor="margin" w:y="137"/>
                    <w:spacing w:before="60" w:after="60"/>
                    <w:rPr>
                      <w:color w:val="000000"/>
                      <w:sz w:val="20"/>
                      <w:szCs w:val="20"/>
                    </w:rPr>
                  </w:pPr>
                  <w:r w:rsidRPr="00BF7956">
                    <w:rPr>
                      <w:color w:val="000000"/>
                      <w:sz w:val="20"/>
                      <w:szCs w:val="20"/>
                    </w:rPr>
                    <w:t>Suma ieșirilor raportate la punctele 1.1, 1.2, 1.3, 1.4, 1.5 și 1.6.</w:t>
                  </w:r>
                </w:p>
              </w:tc>
            </w:tr>
          </w:tbl>
          <w:p w14:paraId="45B86A8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EDB61E8" w14:textId="3022B68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147E93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ECA6D9F" w14:textId="77777777" w:rsidR="008E3BA7" w:rsidRPr="00BF7956" w:rsidRDefault="008E3BA7" w:rsidP="008E3BA7">
            <w:pPr>
              <w:jc w:val="both"/>
              <w:rPr>
                <w:sz w:val="20"/>
                <w:szCs w:val="20"/>
                <w:lang w:val="ro-RO"/>
              </w:rPr>
            </w:pPr>
          </w:p>
        </w:tc>
        <w:tc>
          <w:tcPr>
            <w:tcW w:w="992" w:type="dxa"/>
          </w:tcPr>
          <w:p w14:paraId="46DC3EA9" w14:textId="77777777" w:rsidR="008E3BA7" w:rsidRPr="00BF7956" w:rsidRDefault="008E3BA7" w:rsidP="008E3BA7">
            <w:pPr>
              <w:jc w:val="both"/>
              <w:rPr>
                <w:sz w:val="20"/>
                <w:szCs w:val="20"/>
                <w:lang w:val="ro-RO"/>
              </w:rPr>
            </w:pPr>
          </w:p>
        </w:tc>
      </w:tr>
      <w:tr w:rsidR="008E3BA7" w:rsidRPr="00BF7956" w14:paraId="09C953B3"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BF7956" w14:paraId="4B2E8C22" w14:textId="77777777" w:rsidTr="00702C6E">
              <w:tc>
                <w:tcPr>
                  <w:tcW w:w="718" w:type="dxa"/>
                </w:tcPr>
                <w:p w14:paraId="35D5924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Rând</w:t>
                  </w:r>
                </w:p>
              </w:tc>
              <w:tc>
                <w:tcPr>
                  <w:tcW w:w="3674" w:type="dxa"/>
                </w:tcPr>
                <w:p w14:paraId="5D59701A"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Referinţe juridice și instrucţiuni</w:t>
                  </w:r>
                </w:p>
              </w:tc>
            </w:tr>
            <w:tr w:rsidR="008E3BA7" w:rsidRPr="00BF7956" w14:paraId="2FF60E18" w14:textId="77777777" w:rsidTr="00702C6E">
              <w:tc>
                <w:tcPr>
                  <w:tcW w:w="718" w:type="dxa"/>
                </w:tcPr>
                <w:p w14:paraId="53C2C366" w14:textId="26D103C9" w:rsidR="008E3BA7" w:rsidRPr="00BF7956" w:rsidRDefault="0023261C" w:rsidP="008E3BA7">
                  <w:pPr>
                    <w:pStyle w:val="CM4"/>
                    <w:framePr w:hSpace="180" w:wrap="around" w:vAnchor="text" w:hAnchor="margin" w:y="137"/>
                    <w:spacing w:before="60" w:after="60"/>
                    <w:rPr>
                      <w:i/>
                      <w:iCs/>
                      <w:color w:val="000000"/>
                      <w:sz w:val="20"/>
                      <w:szCs w:val="20"/>
                    </w:rPr>
                  </w:pPr>
                  <w:r w:rsidRPr="00BF7956">
                    <w:rPr>
                      <w:b/>
                      <w:bCs/>
                      <w:color w:val="000000"/>
                      <w:sz w:val="20"/>
                      <w:szCs w:val="20"/>
                    </w:rPr>
                    <w:t>0</w:t>
                  </w:r>
                  <w:r w:rsidR="008E3BA7" w:rsidRPr="00BF7956">
                    <w:rPr>
                      <w:b/>
                      <w:bCs/>
                      <w:color w:val="000000"/>
                      <w:sz w:val="20"/>
                      <w:szCs w:val="20"/>
                    </w:rPr>
                    <w:t xml:space="preserve">390 până la </w:t>
                  </w:r>
                  <w:r w:rsidRPr="00BF7956">
                    <w:rPr>
                      <w:b/>
                      <w:bCs/>
                      <w:color w:val="000000"/>
                      <w:sz w:val="20"/>
                      <w:szCs w:val="20"/>
                    </w:rPr>
                    <w:t>0</w:t>
                  </w:r>
                  <w:r w:rsidR="008E3BA7" w:rsidRPr="00BF7956">
                    <w:rPr>
                      <w:b/>
                      <w:bCs/>
                      <w:color w:val="000000"/>
                      <w:sz w:val="20"/>
                      <w:szCs w:val="20"/>
                    </w:rPr>
                    <w:t>700</w:t>
                  </w:r>
                </w:p>
              </w:tc>
              <w:tc>
                <w:tcPr>
                  <w:tcW w:w="3674" w:type="dxa"/>
                </w:tcPr>
                <w:p w14:paraId="71CF1218" w14:textId="29CEF2AB"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color w:val="000000"/>
                      <w:sz w:val="20"/>
                      <w:szCs w:val="20"/>
                    </w:rPr>
                    <w:t>2 INTRĂRI</w:t>
                  </w:r>
                </w:p>
              </w:tc>
            </w:tr>
          </w:tbl>
          <w:p w14:paraId="35F96984" w14:textId="77777777" w:rsidR="008E3BA7" w:rsidRPr="00BF7956" w:rsidRDefault="008E3BA7" w:rsidP="008E3BA7">
            <w:pPr>
              <w:pStyle w:val="CM4"/>
              <w:spacing w:before="60" w:after="60"/>
              <w:rPr>
                <w:color w:val="000000"/>
                <w:sz w:val="20"/>
                <w:szCs w:val="20"/>
                <w:lang w:val="en-US"/>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BF7956" w14:paraId="495411BF" w14:textId="77777777" w:rsidTr="00B47C2D">
              <w:tc>
                <w:tcPr>
                  <w:tcW w:w="718" w:type="dxa"/>
                </w:tcPr>
                <w:p w14:paraId="2E307C5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Rând</w:t>
                  </w:r>
                </w:p>
              </w:tc>
              <w:tc>
                <w:tcPr>
                  <w:tcW w:w="3674" w:type="dxa"/>
                </w:tcPr>
                <w:p w14:paraId="151E5FF6"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Referinţe juridice și instrucţiuni</w:t>
                  </w:r>
                </w:p>
              </w:tc>
            </w:tr>
            <w:tr w:rsidR="008E3BA7" w:rsidRPr="00BF7956" w14:paraId="13019925" w14:textId="77777777" w:rsidTr="00B47C2D">
              <w:tc>
                <w:tcPr>
                  <w:tcW w:w="718" w:type="dxa"/>
                </w:tcPr>
                <w:p w14:paraId="39399AC3" w14:textId="53E67754" w:rsidR="008E3BA7" w:rsidRPr="00BF7956" w:rsidRDefault="00D1497C" w:rsidP="008E3BA7">
                  <w:pPr>
                    <w:pStyle w:val="CM4"/>
                    <w:framePr w:hSpace="180" w:wrap="around" w:vAnchor="text" w:hAnchor="margin" w:y="137"/>
                    <w:spacing w:before="60" w:after="60"/>
                    <w:rPr>
                      <w:i/>
                      <w:iCs/>
                      <w:color w:val="000000"/>
                      <w:sz w:val="20"/>
                      <w:szCs w:val="20"/>
                    </w:rPr>
                  </w:pPr>
                  <w:r w:rsidRPr="00BF7956">
                    <w:rPr>
                      <w:b/>
                      <w:bCs/>
                      <w:color w:val="000000"/>
                      <w:sz w:val="20"/>
                      <w:szCs w:val="20"/>
                    </w:rPr>
                    <w:t>0</w:t>
                  </w:r>
                  <w:r w:rsidR="008E3BA7" w:rsidRPr="00BF7956">
                    <w:rPr>
                      <w:b/>
                      <w:bCs/>
                      <w:color w:val="000000"/>
                      <w:sz w:val="20"/>
                      <w:szCs w:val="20"/>
                    </w:rPr>
                    <w:t xml:space="preserve">390 până la </w:t>
                  </w:r>
                  <w:r w:rsidRPr="00BF7956">
                    <w:rPr>
                      <w:b/>
                      <w:bCs/>
                      <w:color w:val="000000"/>
                      <w:sz w:val="20"/>
                      <w:szCs w:val="20"/>
                    </w:rPr>
                    <w:t>0</w:t>
                  </w:r>
                  <w:r w:rsidR="008E3BA7" w:rsidRPr="00BF7956">
                    <w:rPr>
                      <w:b/>
                      <w:bCs/>
                      <w:color w:val="000000"/>
                      <w:sz w:val="20"/>
                      <w:szCs w:val="20"/>
                    </w:rPr>
                    <w:t>7</w:t>
                  </w:r>
                  <w:r w:rsidRPr="00BF7956">
                    <w:rPr>
                      <w:b/>
                      <w:bCs/>
                      <w:color w:val="000000"/>
                      <w:sz w:val="20"/>
                      <w:szCs w:val="20"/>
                    </w:rPr>
                    <w:t>2</w:t>
                  </w:r>
                  <w:r w:rsidR="008E3BA7" w:rsidRPr="00BF7956">
                    <w:rPr>
                      <w:b/>
                      <w:bCs/>
                      <w:color w:val="000000"/>
                      <w:sz w:val="20"/>
                      <w:szCs w:val="20"/>
                    </w:rPr>
                    <w:t>0</w:t>
                  </w:r>
                </w:p>
              </w:tc>
              <w:tc>
                <w:tcPr>
                  <w:tcW w:w="3674" w:type="dxa"/>
                </w:tcPr>
                <w:p w14:paraId="71F3048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b/>
                      <w:bCs/>
                      <w:color w:val="000000"/>
                      <w:sz w:val="20"/>
                      <w:szCs w:val="20"/>
                    </w:rPr>
                    <w:t>2 INTRĂRI</w:t>
                  </w:r>
                </w:p>
              </w:tc>
            </w:tr>
          </w:tbl>
          <w:p w14:paraId="3C51B15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50E1068" w14:textId="32A858D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798348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5241B94" w14:textId="77777777" w:rsidR="008E3BA7" w:rsidRPr="00BF7956" w:rsidRDefault="008E3BA7" w:rsidP="008E3BA7">
            <w:pPr>
              <w:jc w:val="both"/>
              <w:rPr>
                <w:sz w:val="20"/>
                <w:szCs w:val="20"/>
                <w:lang w:val="ro-RO"/>
              </w:rPr>
            </w:pPr>
          </w:p>
        </w:tc>
        <w:tc>
          <w:tcPr>
            <w:tcW w:w="992" w:type="dxa"/>
          </w:tcPr>
          <w:p w14:paraId="2542ABE6" w14:textId="77777777" w:rsidR="008E3BA7" w:rsidRPr="00BF7956" w:rsidRDefault="008E3BA7" w:rsidP="008E3BA7">
            <w:pPr>
              <w:jc w:val="both"/>
              <w:rPr>
                <w:sz w:val="20"/>
                <w:szCs w:val="20"/>
                <w:lang w:val="ro-RO"/>
              </w:rPr>
            </w:pPr>
          </w:p>
        </w:tc>
      </w:tr>
      <w:tr w:rsidR="008E3BA7" w:rsidRPr="00BF7956" w14:paraId="0CA8A350"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2D10CE1D" w14:textId="77777777" w:rsidTr="00702C6E">
              <w:tc>
                <w:tcPr>
                  <w:tcW w:w="718" w:type="dxa"/>
                </w:tcPr>
                <w:p w14:paraId="176CEDD2" w14:textId="3B8B0BAA" w:rsidR="008E3BA7" w:rsidRPr="00BF7956" w:rsidRDefault="0023261C" w:rsidP="008E3BA7">
                  <w:pPr>
                    <w:pStyle w:val="CM4"/>
                    <w:framePr w:hSpace="180" w:wrap="around" w:vAnchor="text" w:hAnchor="margin" w:y="137"/>
                    <w:spacing w:before="60"/>
                    <w:rPr>
                      <w:i/>
                      <w:iCs/>
                      <w:color w:val="000000"/>
                      <w:sz w:val="20"/>
                      <w:szCs w:val="20"/>
                      <w:lang w:val="ro-RO"/>
                    </w:rPr>
                  </w:pPr>
                  <w:r w:rsidRPr="00BF7956">
                    <w:rPr>
                      <w:color w:val="000000"/>
                      <w:sz w:val="20"/>
                      <w:szCs w:val="20"/>
                    </w:rPr>
                    <w:t>0</w:t>
                  </w:r>
                  <w:r w:rsidR="008E3BA7" w:rsidRPr="00BF7956">
                    <w:rPr>
                      <w:color w:val="000000"/>
                      <w:sz w:val="20"/>
                      <w:szCs w:val="20"/>
                    </w:rPr>
                    <w:t>390</w:t>
                  </w:r>
                </w:p>
              </w:tc>
              <w:tc>
                <w:tcPr>
                  <w:tcW w:w="3674" w:type="dxa"/>
                </w:tcPr>
                <w:p w14:paraId="7193A650" w14:textId="77777777" w:rsidR="0023261C" w:rsidRPr="00BF7956" w:rsidRDefault="0023261C" w:rsidP="008E3BA7">
                  <w:pPr>
                    <w:pStyle w:val="CM4"/>
                    <w:framePr w:hSpace="180" w:wrap="around" w:vAnchor="text" w:hAnchor="margin" w:y="137"/>
                    <w:spacing w:before="60"/>
                    <w:rPr>
                      <w:color w:val="000000"/>
                      <w:sz w:val="20"/>
                      <w:szCs w:val="20"/>
                    </w:rPr>
                  </w:pPr>
                  <w:r w:rsidRPr="00BF7956">
                    <w:rPr>
                      <w:b/>
                      <w:bCs/>
                      <w:color w:val="000000"/>
                      <w:sz w:val="20"/>
                      <w:szCs w:val="20"/>
                    </w:rPr>
                    <w:t>2.1 Sume de primit în urma unor tranzacţii de creditare garantată și operaţiuni ajustate la condiţiile pieţei de capital garantate cu:</w:t>
                  </w:r>
                  <w:r w:rsidRPr="00BF7956">
                    <w:rPr>
                      <w:color w:val="000000"/>
                      <w:sz w:val="20"/>
                      <w:szCs w:val="20"/>
                    </w:rPr>
                    <w:t xml:space="preserve"> </w:t>
                  </w:r>
                </w:p>
                <w:p w14:paraId="48EC51F4" w14:textId="051AD615" w:rsidR="008E3BA7" w:rsidRPr="00BF7956" w:rsidRDefault="0023261C" w:rsidP="008E3BA7">
                  <w:pPr>
                    <w:pStyle w:val="CM4"/>
                    <w:framePr w:hSpace="180" w:wrap="around" w:vAnchor="text" w:hAnchor="margin" w:y="137"/>
                    <w:spacing w:before="60"/>
                    <w:rPr>
                      <w:color w:val="000000"/>
                      <w:sz w:val="20"/>
                      <w:szCs w:val="20"/>
                    </w:rPr>
                  </w:pPr>
                  <w:r w:rsidRPr="00BF7956">
                    <w:rPr>
                      <w:color w:val="000000"/>
                      <w:sz w:val="20"/>
                      <w:szCs w:val="20"/>
                    </w:rPr>
                    <w:t>Cuantumul total al intrărilor de numerar care provin din tranzacţii de creditare garantată și din operaţiuni ajustate la condiţiile pieţei de capital, astfel cum sunt definite la articolul 192 din Regulamentul (UE) nr. 575/2013. La acest punct se raportează doar fluxurile de numerar, iar fluxurile de titluri de valoare generate de tranzacţii de creditare garantată și de operaţiuni ajustate la condiţiile pieţei de capital se raportează în cadrul secţiunii „Capacitatea de compensare”.</w:t>
                  </w:r>
                </w:p>
              </w:tc>
            </w:tr>
          </w:tbl>
          <w:p w14:paraId="1197E4E8" w14:textId="77777777" w:rsidR="008E3BA7" w:rsidRPr="00BF7956" w:rsidRDefault="008E3BA7" w:rsidP="008E3BA7">
            <w:pPr>
              <w:pStyle w:val="CM4"/>
              <w:spacing w:before="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35EB262B" w14:textId="77777777" w:rsidTr="00B47C2D">
              <w:tc>
                <w:tcPr>
                  <w:tcW w:w="718" w:type="dxa"/>
                </w:tcPr>
                <w:p w14:paraId="2356400D" w14:textId="45026002" w:rsidR="008E3BA7" w:rsidRPr="00BF7956" w:rsidRDefault="00D1497C" w:rsidP="008E3BA7">
                  <w:pPr>
                    <w:pStyle w:val="CM4"/>
                    <w:framePr w:hSpace="180" w:wrap="around" w:vAnchor="text" w:hAnchor="margin" w:y="137"/>
                    <w:spacing w:before="60"/>
                    <w:rPr>
                      <w:i/>
                      <w:iCs/>
                      <w:color w:val="000000"/>
                      <w:sz w:val="20"/>
                      <w:szCs w:val="20"/>
                      <w:lang w:val="ro-RO"/>
                    </w:rPr>
                  </w:pPr>
                  <w:r w:rsidRPr="00BF7956">
                    <w:rPr>
                      <w:color w:val="000000"/>
                      <w:sz w:val="20"/>
                      <w:szCs w:val="20"/>
                    </w:rPr>
                    <w:t>0</w:t>
                  </w:r>
                  <w:r w:rsidR="008E3BA7" w:rsidRPr="00BF7956">
                    <w:rPr>
                      <w:color w:val="000000"/>
                      <w:sz w:val="20"/>
                      <w:szCs w:val="20"/>
                    </w:rPr>
                    <w:t>390</w:t>
                  </w:r>
                </w:p>
              </w:tc>
              <w:tc>
                <w:tcPr>
                  <w:tcW w:w="3674" w:type="dxa"/>
                </w:tcPr>
                <w:p w14:paraId="3EE4084B" w14:textId="77777777" w:rsidR="008E3BA7" w:rsidRPr="00BF7956" w:rsidRDefault="008E3BA7" w:rsidP="008E3BA7">
                  <w:pPr>
                    <w:pStyle w:val="CM4"/>
                    <w:framePr w:hSpace="180" w:wrap="around" w:vAnchor="text" w:hAnchor="margin" w:y="137"/>
                    <w:spacing w:before="60"/>
                    <w:rPr>
                      <w:b/>
                      <w:bCs/>
                      <w:color w:val="000000"/>
                      <w:sz w:val="20"/>
                      <w:szCs w:val="20"/>
                    </w:rPr>
                  </w:pPr>
                  <w:r w:rsidRPr="00BF7956">
                    <w:rPr>
                      <w:b/>
                      <w:bCs/>
                      <w:color w:val="000000"/>
                      <w:sz w:val="20"/>
                      <w:szCs w:val="20"/>
                    </w:rPr>
                    <w:t>2.1</w:t>
                  </w:r>
                  <w:r w:rsidRPr="00BF7956">
                    <w:rPr>
                      <w:color w:val="000000"/>
                      <w:sz w:val="20"/>
                      <w:szCs w:val="20"/>
                    </w:rPr>
                    <w:t xml:space="preserve"> </w:t>
                  </w:r>
                  <w:r w:rsidRPr="00BF7956">
                    <w:rPr>
                      <w:b/>
                      <w:bCs/>
                      <w:color w:val="000000"/>
                      <w:sz w:val="20"/>
                      <w:szCs w:val="20"/>
                    </w:rPr>
                    <w:t xml:space="preserve">Sume de primit în urma unor tranzacţii de creditare garantată și operaţiuni ajustate la condiţiile pieţei de capital garantate cu: </w:t>
                  </w:r>
                </w:p>
                <w:p w14:paraId="6EDC2EF5" w14:textId="77777777" w:rsidR="00D1497C" w:rsidRPr="00BF7956" w:rsidRDefault="00D1497C" w:rsidP="00D1497C">
                  <w:pPr>
                    <w:framePr w:hSpace="180" w:wrap="around" w:vAnchor="text" w:hAnchor="margin" w:y="137"/>
                    <w:spacing w:before="60"/>
                    <w:rPr>
                      <w:color w:val="000000"/>
                      <w:sz w:val="20"/>
                      <w:szCs w:val="20"/>
                      <w:lang w:val="en-US"/>
                    </w:rPr>
                  </w:pPr>
                  <w:r w:rsidRPr="00BF7956">
                    <w:rPr>
                      <w:color w:val="000000"/>
                      <w:sz w:val="20"/>
                      <w:szCs w:val="20"/>
                      <w:lang w:val="en-US"/>
                    </w:rPr>
                    <w:t xml:space="preserve">Cuantumul total al intrărilor de numerar care provin din tranzacții de creditare garantată și din operațiuni ajustate la condițiile pieței de capital, astfel cum sunt definite la punctul 3 din Regulamentul nr. 112/2018 cu privire la tehnicile de diminuare a riscului de credit utilizate de bănci. </w:t>
                  </w:r>
                </w:p>
                <w:p w14:paraId="4D1EE95B" w14:textId="1002584E" w:rsidR="008E3BA7" w:rsidRPr="00BF7956" w:rsidRDefault="00D1497C" w:rsidP="00D1497C">
                  <w:pPr>
                    <w:framePr w:hSpace="180" w:wrap="around" w:vAnchor="text" w:hAnchor="margin" w:y="137"/>
                    <w:spacing w:before="60"/>
                    <w:rPr>
                      <w:color w:val="000000"/>
                      <w:sz w:val="20"/>
                      <w:szCs w:val="20"/>
                      <w:lang w:val="en-US"/>
                    </w:rPr>
                  </w:pPr>
                  <w:r w:rsidRPr="00BF7956">
                    <w:rPr>
                      <w:color w:val="000000"/>
                      <w:sz w:val="20"/>
                      <w:szCs w:val="20"/>
                      <w:lang w:val="en-US"/>
                    </w:rPr>
                    <w:t>La acest punct se raportează doar fluxurile de numerar, iar fluxurile de titluri de valoare generate de tranzacții de creditare garantată și de operațiuni ajustate la condițiile pieței de capital se raportează în cadrul secțiunii „Capacitatea de compensare”.</w:t>
                  </w:r>
                </w:p>
              </w:tc>
            </w:tr>
          </w:tbl>
          <w:p w14:paraId="0B355E6B" w14:textId="77777777" w:rsidR="008E3BA7" w:rsidRPr="00BF7956" w:rsidRDefault="008E3BA7" w:rsidP="008E3BA7">
            <w:pPr>
              <w:autoSpaceDE w:val="0"/>
              <w:autoSpaceDN w:val="0"/>
              <w:adjustRightInd w:val="0"/>
              <w:spacing w:before="60"/>
              <w:rPr>
                <w:color w:val="000000"/>
                <w:sz w:val="20"/>
                <w:szCs w:val="20"/>
                <w:lang w:val="it-IT"/>
              </w:rPr>
            </w:pPr>
          </w:p>
        </w:tc>
        <w:tc>
          <w:tcPr>
            <w:tcW w:w="1418" w:type="dxa"/>
          </w:tcPr>
          <w:p w14:paraId="1973E2F3" w14:textId="590A9C1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DD640F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F8748E0" w14:textId="77777777" w:rsidR="008E3BA7" w:rsidRPr="00BF7956" w:rsidRDefault="008E3BA7" w:rsidP="008E3BA7">
            <w:pPr>
              <w:jc w:val="both"/>
              <w:rPr>
                <w:sz w:val="20"/>
                <w:szCs w:val="20"/>
                <w:lang w:val="ro-RO"/>
              </w:rPr>
            </w:pPr>
          </w:p>
        </w:tc>
        <w:tc>
          <w:tcPr>
            <w:tcW w:w="992" w:type="dxa"/>
          </w:tcPr>
          <w:p w14:paraId="3403B0F6" w14:textId="77777777" w:rsidR="008E3BA7" w:rsidRPr="00BF7956" w:rsidRDefault="008E3BA7" w:rsidP="008E3BA7">
            <w:pPr>
              <w:jc w:val="both"/>
              <w:rPr>
                <w:sz w:val="20"/>
                <w:szCs w:val="20"/>
                <w:lang w:val="ro-RO"/>
              </w:rPr>
            </w:pPr>
          </w:p>
        </w:tc>
      </w:tr>
      <w:tr w:rsidR="0023261C" w:rsidRPr="002C43F1" w14:paraId="7F9B2C24"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23261C" w:rsidRPr="002C43F1" w14:paraId="376C68C1" w14:textId="77777777" w:rsidTr="00472775">
              <w:tc>
                <w:tcPr>
                  <w:tcW w:w="718" w:type="dxa"/>
                </w:tcPr>
                <w:p w14:paraId="3020756E" w14:textId="0BB34008" w:rsidR="0023261C" w:rsidRPr="00BF7956" w:rsidRDefault="0023261C" w:rsidP="0023261C">
                  <w:pPr>
                    <w:pStyle w:val="CM4"/>
                    <w:framePr w:hSpace="180" w:wrap="around" w:vAnchor="text" w:hAnchor="margin" w:y="137"/>
                    <w:spacing w:before="60"/>
                    <w:rPr>
                      <w:i/>
                      <w:iCs/>
                      <w:color w:val="000000"/>
                      <w:sz w:val="20"/>
                      <w:szCs w:val="20"/>
                      <w:lang w:val="ro-RO"/>
                    </w:rPr>
                  </w:pPr>
                  <w:r w:rsidRPr="00BF7956">
                    <w:rPr>
                      <w:color w:val="000000"/>
                      <w:sz w:val="20"/>
                      <w:szCs w:val="20"/>
                    </w:rPr>
                    <w:t>0391</w:t>
                  </w:r>
                </w:p>
              </w:tc>
              <w:tc>
                <w:tcPr>
                  <w:tcW w:w="3674" w:type="dxa"/>
                </w:tcPr>
                <w:p w14:paraId="5A84E5B0" w14:textId="03152E82" w:rsidR="0023261C" w:rsidRPr="00BF7956" w:rsidRDefault="0023261C" w:rsidP="0023261C">
                  <w:pPr>
                    <w:pStyle w:val="CM4"/>
                    <w:framePr w:hSpace="180" w:wrap="around" w:vAnchor="text" w:hAnchor="margin" w:y="137"/>
                    <w:spacing w:before="60"/>
                    <w:rPr>
                      <w:color w:val="000000"/>
                      <w:sz w:val="20"/>
                      <w:szCs w:val="20"/>
                    </w:rPr>
                  </w:pPr>
                  <w:r w:rsidRPr="00BF7956">
                    <w:rPr>
                      <w:b/>
                      <w:bCs/>
                      <w:color w:val="000000"/>
                      <w:sz w:val="20"/>
                      <w:szCs w:val="20"/>
                    </w:rPr>
                    <w:t xml:space="preserve">2.1.0.1 din care: intragrup sau IPS </w:t>
                  </w:r>
                  <w:r w:rsidRPr="00BF7956">
                    <w:rPr>
                      <w:color w:val="000000"/>
                      <w:sz w:val="20"/>
                      <w:szCs w:val="20"/>
                    </w:rPr>
                    <w:t>Cuantumul intrărilor de la punctul 2.1 în cazul în care contrapartea este o instituţie-mamă sau o filială a instituţiei sau o altă filială a aceleiași instituţii- mamă ori este legată de instituţia de credit printr-o relaţie în sensul articolului 22 alineatul (7) din 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3DB7601B" w14:textId="77777777" w:rsidR="0023261C" w:rsidRPr="00BF7956" w:rsidRDefault="0023261C" w:rsidP="008E3BA7">
            <w:pPr>
              <w:pStyle w:val="CM4"/>
              <w:spacing w:before="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D1497C" w:rsidRPr="002C43F1" w14:paraId="60E4B929" w14:textId="77777777" w:rsidTr="00472775">
              <w:tc>
                <w:tcPr>
                  <w:tcW w:w="718" w:type="dxa"/>
                </w:tcPr>
                <w:p w14:paraId="09B65755" w14:textId="77777777" w:rsidR="00D1497C" w:rsidRPr="00BF7956" w:rsidRDefault="00D1497C" w:rsidP="00D1497C">
                  <w:pPr>
                    <w:pStyle w:val="CM4"/>
                    <w:framePr w:hSpace="180" w:wrap="around" w:vAnchor="text" w:hAnchor="margin" w:y="137"/>
                    <w:spacing w:before="60"/>
                    <w:rPr>
                      <w:i/>
                      <w:iCs/>
                      <w:color w:val="000000"/>
                      <w:sz w:val="20"/>
                      <w:szCs w:val="20"/>
                      <w:lang w:val="ro-RO"/>
                    </w:rPr>
                  </w:pPr>
                  <w:r w:rsidRPr="00BF7956">
                    <w:rPr>
                      <w:color w:val="000000"/>
                      <w:sz w:val="20"/>
                      <w:szCs w:val="20"/>
                    </w:rPr>
                    <w:t>0391</w:t>
                  </w:r>
                </w:p>
              </w:tc>
              <w:tc>
                <w:tcPr>
                  <w:tcW w:w="3674" w:type="dxa"/>
                </w:tcPr>
                <w:p w14:paraId="33410835" w14:textId="41A046EA" w:rsidR="00D1497C" w:rsidRPr="00BF7956" w:rsidRDefault="00D1497C" w:rsidP="00D1497C">
                  <w:pPr>
                    <w:pStyle w:val="CM4"/>
                    <w:framePr w:hSpace="180" w:wrap="around" w:vAnchor="text" w:hAnchor="margin" w:y="137"/>
                    <w:spacing w:before="60"/>
                    <w:rPr>
                      <w:color w:val="000000"/>
                      <w:sz w:val="20"/>
                      <w:szCs w:val="20"/>
                    </w:rPr>
                  </w:pPr>
                  <w:r w:rsidRPr="00BF7956">
                    <w:rPr>
                      <w:b/>
                      <w:bCs/>
                      <w:color w:val="000000"/>
                      <w:sz w:val="20"/>
                      <w:szCs w:val="20"/>
                    </w:rPr>
                    <w:t xml:space="preserve">2.1.0.1 din care: intragrup sau IPS </w:t>
                  </w:r>
                </w:p>
              </w:tc>
            </w:tr>
          </w:tbl>
          <w:p w14:paraId="3EEEC2E0" w14:textId="77777777" w:rsidR="0023261C" w:rsidRPr="00BF7956" w:rsidRDefault="0023261C" w:rsidP="008E3BA7">
            <w:pPr>
              <w:pStyle w:val="CM4"/>
              <w:spacing w:before="60"/>
              <w:rPr>
                <w:color w:val="000000"/>
                <w:sz w:val="20"/>
                <w:szCs w:val="20"/>
              </w:rPr>
            </w:pPr>
          </w:p>
        </w:tc>
        <w:tc>
          <w:tcPr>
            <w:tcW w:w="1418" w:type="dxa"/>
          </w:tcPr>
          <w:p w14:paraId="68B6E7C2" w14:textId="1DDC7B23" w:rsidR="0023261C" w:rsidRPr="00BF7956" w:rsidRDefault="00D1497C" w:rsidP="008E3BA7">
            <w:pPr>
              <w:rPr>
                <w:bCs/>
                <w:sz w:val="20"/>
                <w:szCs w:val="20"/>
                <w:lang w:val="ro-RO"/>
              </w:rPr>
            </w:pPr>
            <w:r w:rsidRPr="00101940">
              <w:rPr>
                <w:bCs/>
                <w:sz w:val="20"/>
                <w:szCs w:val="20"/>
                <w:lang w:val="ro-RO"/>
              </w:rPr>
              <w:t>Necompatibil</w:t>
            </w:r>
          </w:p>
        </w:tc>
        <w:tc>
          <w:tcPr>
            <w:tcW w:w="2223" w:type="dxa"/>
          </w:tcPr>
          <w:p w14:paraId="4BE5FC41" w14:textId="6DCF6018" w:rsidR="0023261C" w:rsidRPr="00BF7956" w:rsidRDefault="00101940" w:rsidP="00101940">
            <w:pPr>
              <w:rPr>
                <w:sz w:val="20"/>
                <w:szCs w:val="20"/>
                <w:lang w:val="ro-RO"/>
              </w:rPr>
            </w:pPr>
            <w:r w:rsidRPr="008E3BA7">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510B3057" w14:textId="77777777" w:rsidR="0023261C" w:rsidRPr="00BF7956" w:rsidRDefault="0023261C" w:rsidP="008E3BA7">
            <w:pPr>
              <w:jc w:val="both"/>
              <w:rPr>
                <w:sz w:val="20"/>
                <w:szCs w:val="20"/>
                <w:lang w:val="ro-RO"/>
              </w:rPr>
            </w:pPr>
          </w:p>
        </w:tc>
        <w:tc>
          <w:tcPr>
            <w:tcW w:w="992" w:type="dxa"/>
          </w:tcPr>
          <w:p w14:paraId="354A5492" w14:textId="77777777" w:rsidR="0023261C" w:rsidRPr="00BF7956" w:rsidRDefault="0023261C" w:rsidP="008E3BA7">
            <w:pPr>
              <w:jc w:val="both"/>
              <w:rPr>
                <w:sz w:val="20"/>
                <w:szCs w:val="20"/>
                <w:lang w:val="ro-RO"/>
              </w:rPr>
            </w:pPr>
          </w:p>
        </w:tc>
      </w:tr>
      <w:tr w:rsidR="008E3BA7" w:rsidRPr="00BF7956" w14:paraId="3629536B" w14:textId="77777777" w:rsidTr="00C25F84">
        <w:tc>
          <w:tcPr>
            <w:tcW w:w="4576" w:type="dxa"/>
          </w:tcPr>
          <w:tbl>
            <w:tblPr>
              <w:tblStyle w:val="TableGrid"/>
              <w:tblW w:w="4392" w:type="dxa"/>
              <w:tblLayout w:type="fixed"/>
              <w:tblLook w:val="04A0" w:firstRow="1" w:lastRow="0" w:firstColumn="1" w:lastColumn="0" w:noHBand="0" w:noVBand="1"/>
            </w:tblPr>
            <w:tblGrid>
              <w:gridCol w:w="707"/>
              <w:gridCol w:w="3685"/>
            </w:tblGrid>
            <w:tr w:rsidR="008E3BA7" w:rsidRPr="002C43F1" w14:paraId="21F75FA9" w14:textId="77777777" w:rsidTr="00702C6E">
              <w:tc>
                <w:tcPr>
                  <w:tcW w:w="707" w:type="dxa"/>
                </w:tcPr>
                <w:p w14:paraId="78C00B85" w14:textId="5EA5ED2B" w:rsidR="008E3BA7" w:rsidRPr="00BF7956" w:rsidRDefault="0023261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400</w:t>
                  </w:r>
                </w:p>
              </w:tc>
              <w:tc>
                <w:tcPr>
                  <w:tcW w:w="3685" w:type="dxa"/>
                </w:tcPr>
                <w:p w14:paraId="6C23EB2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w:t>
                  </w:r>
                  <w:r w:rsidRPr="00BF7956">
                    <w:rPr>
                      <w:color w:val="000000"/>
                      <w:sz w:val="20"/>
                      <w:szCs w:val="20"/>
                    </w:rPr>
                    <w:t xml:space="preserve"> </w:t>
                  </w:r>
                  <w:r w:rsidRPr="00BF7956">
                    <w:rPr>
                      <w:b/>
                      <w:bCs/>
                      <w:color w:val="000000"/>
                      <w:sz w:val="20"/>
                      <w:szCs w:val="20"/>
                    </w:rPr>
                    <w:t>Active tranzacţionabile de nivel 1</w:t>
                  </w:r>
                </w:p>
                <w:p w14:paraId="7A86D71D" w14:textId="432E5F4E" w:rsidR="008E3BA7" w:rsidRPr="00BF7956" w:rsidRDefault="002C4AC2"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 care sunt garantate cu active tranzacţionabile în conformitate cu articolele 7, 8 și 10 din Regulamentul delegat (UE) 2015/61. Acţiunile sau unităţile deţinute în OPC-uri în conformitate cu articolul 15 din Regulamentul delegat (UE) 2015/61 care se califică drept active de nivel 1 se raportează în subcategoriile de mai jos corespunzătoare activelor-suport ale acestora.</w:t>
                  </w:r>
                </w:p>
              </w:tc>
            </w:tr>
          </w:tbl>
          <w:p w14:paraId="32A35CE6"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72" w:type="dxa"/>
              <w:tblLayout w:type="fixed"/>
              <w:tblLook w:val="04A0" w:firstRow="1" w:lastRow="0" w:firstColumn="1" w:lastColumn="0" w:noHBand="0" w:noVBand="1"/>
            </w:tblPr>
            <w:tblGrid>
              <w:gridCol w:w="687"/>
              <w:gridCol w:w="3685"/>
            </w:tblGrid>
            <w:tr w:rsidR="008E3BA7" w:rsidRPr="002C43F1" w14:paraId="682C9E09" w14:textId="77777777" w:rsidTr="00702C6E">
              <w:tc>
                <w:tcPr>
                  <w:tcW w:w="687" w:type="dxa"/>
                </w:tcPr>
                <w:p w14:paraId="783777C5" w14:textId="32FC2F21"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400</w:t>
                  </w:r>
                </w:p>
              </w:tc>
              <w:tc>
                <w:tcPr>
                  <w:tcW w:w="3685" w:type="dxa"/>
                </w:tcPr>
                <w:p w14:paraId="0A6BDB72" w14:textId="77777777" w:rsidR="005B4BE1" w:rsidRPr="00BF7956" w:rsidRDefault="005B4BE1" w:rsidP="005B4BE1">
                  <w:pPr>
                    <w:framePr w:hSpace="180" w:wrap="around" w:vAnchor="text" w:hAnchor="margin" w:y="137"/>
                    <w:spacing w:before="60" w:after="60"/>
                    <w:rPr>
                      <w:b/>
                      <w:bCs/>
                      <w:color w:val="000000"/>
                      <w:sz w:val="20"/>
                      <w:szCs w:val="20"/>
                      <w:lang w:val="en-US"/>
                    </w:rPr>
                  </w:pPr>
                  <w:r w:rsidRPr="00BF7956">
                    <w:rPr>
                      <w:b/>
                      <w:bCs/>
                      <w:color w:val="000000"/>
                      <w:sz w:val="20"/>
                      <w:szCs w:val="20"/>
                      <w:lang w:val="en-US"/>
                    </w:rPr>
                    <w:t>2.1.1 Active tranzacționabile de nivel 1</w:t>
                  </w:r>
                </w:p>
                <w:p w14:paraId="66CE4F0C" w14:textId="64D9A661" w:rsidR="005B4BE1" w:rsidRPr="00BF7956" w:rsidRDefault="005B4BE1" w:rsidP="005B4BE1">
                  <w:pPr>
                    <w:framePr w:hSpace="180" w:wrap="around" w:vAnchor="text" w:hAnchor="margin" w:y="137"/>
                    <w:spacing w:before="60" w:after="60"/>
                    <w:rPr>
                      <w:color w:val="000000"/>
                      <w:sz w:val="20"/>
                      <w:szCs w:val="20"/>
                      <w:lang w:val="en-US"/>
                    </w:rPr>
                  </w:pPr>
                  <w:r w:rsidRPr="00BF7956">
                    <w:rPr>
                      <w:color w:val="000000"/>
                      <w:sz w:val="20"/>
                      <w:szCs w:val="20"/>
                      <w:lang w:val="en-US"/>
                    </w:rPr>
                    <w:t>Cuantumul intrărilor de numerar raportate la punctul 2.1 garantate cu active tranzacționabile în conformitate cu punctele 21-29</w:t>
                  </w:r>
                  <w:r w:rsidR="00817FE6">
                    <w:rPr>
                      <w:color w:val="000000"/>
                      <w:sz w:val="20"/>
                      <w:szCs w:val="20"/>
                      <w:lang w:val="en-US"/>
                    </w:rPr>
                    <w:t>,</w:t>
                  </w:r>
                  <w:r w:rsidRPr="00BF7956">
                    <w:rPr>
                      <w:color w:val="000000"/>
                      <w:sz w:val="20"/>
                      <w:szCs w:val="20"/>
                      <w:lang w:val="en-US"/>
                    </w:rPr>
                    <w:t xml:space="preserve"> 31 și 32 din Regulamentul nr.44/2020 privind cerințele de acoperire a necesarului de lichiditate pentru bănci. </w:t>
                  </w:r>
                </w:p>
                <w:p w14:paraId="02FABCE0" w14:textId="13BB66C3" w:rsidR="008E3BA7" w:rsidRPr="00BF7956" w:rsidRDefault="005B4BE1" w:rsidP="005B4BE1">
                  <w:pPr>
                    <w:framePr w:hSpace="180" w:wrap="around" w:vAnchor="text" w:hAnchor="margin" w:y="137"/>
                    <w:spacing w:before="60" w:after="60"/>
                    <w:rPr>
                      <w:color w:val="000000"/>
                      <w:sz w:val="20"/>
                      <w:szCs w:val="20"/>
                      <w:lang w:val="en-US"/>
                    </w:rPr>
                  </w:pPr>
                  <w:r w:rsidRPr="00BF7956">
                    <w:rPr>
                      <w:color w:val="000000"/>
                      <w:sz w:val="20"/>
                      <w:szCs w:val="20"/>
                      <w:lang w:val="en-US"/>
                    </w:rPr>
                    <w:t>Acțiunile sau unitățile deținute în OPC-uri în conformitate cu punctele 37-41 din Regulamentul nr.44/2020 privind cerinţele de acoperire a necesarului de lichiditate pentru bănci care se califică drept active de nivel 1 se raportează în subcategoriile de mai jos corespunzătoare activelor-suport ale acestora.</w:t>
                  </w:r>
                </w:p>
              </w:tc>
            </w:tr>
          </w:tbl>
          <w:p w14:paraId="402FAF15" w14:textId="77777777" w:rsidR="008E3BA7" w:rsidRPr="00BF7956" w:rsidRDefault="008E3BA7" w:rsidP="008E3BA7">
            <w:pPr>
              <w:autoSpaceDE w:val="0"/>
              <w:autoSpaceDN w:val="0"/>
              <w:adjustRightInd w:val="0"/>
              <w:spacing w:before="60" w:after="60"/>
              <w:jc w:val="center"/>
              <w:rPr>
                <w:color w:val="000000"/>
                <w:sz w:val="20"/>
                <w:szCs w:val="20"/>
                <w:lang w:val="ro-MD"/>
              </w:rPr>
            </w:pPr>
          </w:p>
        </w:tc>
        <w:tc>
          <w:tcPr>
            <w:tcW w:w="1418" w:type="dxa"/>
          </w:tcPr>
          <w:p w14:paraId="005C9612" w14:textId="2EFA273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AF5D10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361FFD9" w14:textId="77777777" w:rsidR="008E3BA7" w:rsidRPr="00BF7956" w:rsidRDefault="008E3BA7" w:rsidP="008E3BA7">
            <w:pPr>
              <w:jc w:val="both"/>
              <w:rPr>
                <w:sz w:val="20"/>
                <w:szCs w:val="20"/>
                <w:lang w:val="ro-RO"/>
              </w:rPr>
            </w:pPr>
          </w:p>
        </w:tc>
        <w:tc>
          <w:tcPr>
            <w:tcW w:w="992" w:type="dxa"/>
          </w:tcPr>
          <w:p w14:paraId="21A0F024" w14:textId="77777777" w:rsidR="008E3BA7" w:rsidRPr="00BF7956" w:rsidRDefault="008E3BA7" w:rsidP="008E3BA7">
            <w:pPr>
              <w:jc w:val="both"/>
              <w:rPr>
                <w:sz w:val="20"/>
                <w:szCs w:val="20"/>
                <w:lang w:val="ro-RO"/>
              </w:rPr>
            </w:pPr>
          </w:p>
        </w:tc>
      </w:tr>
      <w:tr w:rsidR="008E3BA7" w:rsidRPr="00BF7956" w14:paraId="6E2A6B0D"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0D9799D8" w14:textId="77777777" w:rsidTr="00702C6E">
              <w:tc>
                <w:tcPr>
                  <w:tcW w:w="718" w:type="dxa"/>
                </w:tcPr>
                <w:p w14:paraId="2A1D8E11" w14:textId="1FD89CED" w:rsidR="008E3BA7" w:rsidRPr="00BF7956" w:rsidRDefault="00637BB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410</w:t>
                  </w:r>
                </w:p>
              </w:tc>
              <w:tc>
                <w:tcPr>
                  <w:tcW w:w="3674" w:type="dxa"/>
                </w:tcPr>
                <w:p w14:paraId="1F6FD204" w14:textId="77777777" w:rsidR="00637BB6" w:rsidRPr="00BF7956" w:rsidRDefault="00637BB6" w:rsidP="008E3BA7">
                  <w:pPr>
                    <w:pStyle w:val="CM4"/>
                    <w:framePr w:hSpace="180" w:wrap="around" w:vAnchor="text" w:hAnchor="margin" w:y="137"/>
                    <w:spacing w:before="60" w:after="60"/>
                    <w:rPr>
                      <w:color w:val="000000"/>
                      <w:sz w:val="20"/>
                      <w:szCs w:val="20"/>
                    </w:rPr>
                  </w:pPr>
                  <w:r w:rsidRPr="00BF7956">
                    <w:rPr>
                      <w:b/>
                      <w:bCs/>
                      <w:color w:val="000000"/>
                      <w:sz w:val="20"/>
                      <w:szCs w:val="20"/>
                    </w:rPr>
                    <w:t>2.1.1.1 Active de nivel 1, exceptând obligaţiunile garantate</w:t>
                  </w:r>
                  <w:r w:rsidRPr="00BF7956">
                    <w:rPr>
                      <w:color w:val="000000"/>
                      <w:sz w:val="20"/>
                      <w:szCs w:val="20"/>
                    </w:rPr>
                    <w:t xml:space="preserve"> </w:t>
                  </w:r>
                </w:p>
                <w:p w14:paraId="4ADFFA71" w14:textId="7B985E8A" w:rsidR="008E3BA7" w:rsidRPr="00BF7956" w:rsidRDefault="00637BB6"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2.1.1 care sunt garantate cu active care nu sunt obligaţiuni garantate.</w:t>
                  </w:r>
                </w:p>
              </w:tc>
            </w:tr>
          </w:tbl>
          <w:p w14:paraId="145E2360"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1CA84212" w14:textId="77777777" w:rsidTr="00B47C2D">
              <w:tc>
                <w:tcPr>
                  <w:tcW w:w="718" w:type="dxa"/>
                </w:tcPr>
                <w:p w14:paraId="70BCC96B" w14:textId="176213CB"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410</w:t>
                  </w:r>
                </w:p>
              </w:tc>
              <w:tc>
                <w:tcPr>
                  <w:tcW w:w="3674" w:type="dxa"/>
                </w:tcPr>
                <w:p w14:paraId="3448357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w:t>
                  </w:r>
                  <w:r w:rsidRPr="00BF7956">
                    <w:rPr>
                      <w:color w:val="000000"/>
                      <w:sz w:val="20"/>
                      <w:szCs w:val="20"/>
                    </w:rPr>
                    <w:t xml:space="preserve"> </w:t>
                  </w:r>
                  <w:r w:rsidRPr="00BF7956">
                    <w:rPr>
                      <w:b/>
                      <w:bCs/>
                      <w:color w:val="000000"/>
                      <w:sz w:val="20"/>
                      <w:szCs w:val="20"/>
                    </w:rPr>
                    <w:t xml:space="preserve">Active de nivel 1, exceptând obligaţiunile garantate </w:t>
                  </w:r>
                </w:p>
                <w:p w14:paraId="1587FAAB" w14:textId="01A4791D"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2.1.1 garantate cu active care nu sunt obligațiuni garantate.</w:t>
                  </w:r>
                </w:p>
              </w:tc>
            </w:tr>
          </w:tbl>
          <w:p w14:paraId="7A7FCB53"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13A82ADD" w14:textId="4DC030F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5810F9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33EF8C1" w14:textId="77777777" w:rsidR="008E3BA7" w:rsidRPr="00BF7956" w:rsidRDefault="008E3BA7" w:rsidP="008E3BA7">
            <w:pPr>
              <w:jc w:val="both"/>
              <w:rPr>
                <w:sz w:val="20"/>
                <w:szCs w:val="20"/>
                <w:lang w:val="ro-RO"/>
              </w:rPr>
            </w:pPr>
          </w:p>
        </w:tc>
        <w:tc>
          <w:tcPr>
            <w:tcW w:w="992" w:type="dxa"/>
          </w:tcPr>
          <w:p w14:paraId="11D9DE1B" w14:textId="77777777" w:rsidR="008E3BA7" w:rsidRPr="00BF7956" w:rsidRDefault="008E3BA7" w:rsidP="008E3BA7">
            <w:pPr>
              <w:jc w:val="both"/>
              <w:rPr>
                <w:sz w:val="20"/>
                <w:szCs w:val="20"/>
                <w:lang w:val="ro-RO"/>
              </w:rPr>
            </w:pPr>
          </w:p>
        </w:tc>
      </w:tr>
      <w:tr w:rsidR="008E3BA7" w:rsidRPr="00BF7956" w14:paraId="17241893"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36E4FF37" w14:textId="77777777" w:rsidTr="00702C6E">
              <w:tc>
                <w:tcPr>
                  <w:tcW w:w="718" w:type="dxa"/>
                </w:tcPr>
                <w:p w14:paraId="0BF5B050" w14:textId="5408EFC9" w:rsidR="008E3BA7" w:rsidRPr="00BF7956" w:rsidRDefault="00637BB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420</w:t>
                  </w:r>
                </w:p>
              </w:tc>
              <w:tc>
                <w:tcPr>
                  <w:tcW w:w="3674" w:type="dxa"/>
                </w:tcPr>
                <w:p w14:paraId="564CB4F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2.1.1.1.1</w:t>
                  </w:r>
                  <w:r w:rsidRPr="00BF7956">
                    <w:rPr>
                      <w:color w:val="000000"/>
                      <w:sz w:val="20"/>
                      <w:szCs w:val="20"/>
                    </w:rPr>
                    <w:t xml:space="preserve"> </w:t>
                  </w:r>
                  <w:r w:rsidRPr="00BF7956">
                    <w:rPr>
                      <w:b/>
                      <w:bCs/>
                      <w:color w:val="000000"/>
                      <w:sz w:val="20"/>
                      <w:szCs w:val="20"/>
                    </w:rPr>
                    <w:t xml:space="preserve">Active de nivel 1 aferente băncilor centrale </w:t>
                  </w:r>
                </w:p>
                <w:p w14:paraId="6B79B36B" w14:textId="105A9BB0" w:rsidR="008E3BA7" w:rsidRPr="00BF7956" w:rsidRDefault="00637BB6"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2.1.1.1 care sunt garantate cu active care reprezintă creanţe asupra băncilor centrale sau garantate de acestea.</w:t>
                  </w:r>
                </w:p>
              </w:tc>
            </w:tr>
          </w:tbl>
          <w:p w14:paraId="5BE9CCAC"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54A39D1B" w14:textId="77777777" w:rsidTr="00B47C2D">
              <w:tc>
                <w:tcPr>
                  <w:tcW w:w="718" w:type="dxa"/>
                </w:tcPr>
                <w:p w14:paraId="781A006E" w14:textId="4F527ED8"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420</w:t>
                  </w:r>
                </w:p>
              </w:tc>
              <w:tc>
                <w:tcPr>
                  <w:tcW w:w="3674" w:type="dxa"/>
                </w:tcPr>
                <w:p w14:paraId="6658D00B"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2.1.1.1.1</w:t>
                  </w:r>
                  <w:r w:rsidRPr="00BF7956">
                    <w:rPr>
                      <w:color w:val="000000"/>
                      <w:sz w:val="20"/>
                      <w:szCs w:val="20"/>
                    </w:rPr>
                    <w:t xml:space="preserve"> </w:t>
                  </w:r>
                  <w:r w:rsidRPr="00BF7956">
                    <w:rPr>
                      <w:b/>
                      <w:bCs/>
                      <w:color w:val="000000"/>
                      <w:sz w:val="20"/>
                      <w:szCs w:val="20"/>
                    </w:rPr>
                    <w:t xml:space="preserve">Active de nivel 1 aferente băncilor centrale </w:t>
                  </w:r>
                </w:p>
                <w:p w14:paraId="188F830F" w14:textId="0B8CE430"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intrărilor de numerar raportate la punctul 2.1.1.1 garantate cu active care reprezintă creanțe </w:t>
                  </w:r>
                  <w:r w:rsidR="00817FE6">
                    <w:rPr>
                      <w:color w:val="000000"/>
                      <w:sz w:val="20"/>
                      <w:szCs w:val="20"/>
                    </w:rPr>
                    <w:t xml:space="preserve"> față de </w:t>
                  </w:r>
                  <w:r w:rsidRPr="00BF7956">
                    <w:rPr>
                      <w:color w:val="000000"/>
                      <w:sz w:val="20"/>
                      <w:szCs w:val="20"/>
                    </w:rPr>
                    <w:t>băncil</w:t>
                  </w:r>
                  <w:r w:rsidR="00817FE6">
                    <w:rPr>
                      <w:color w:val="000000"/>
                      <w:sz w:val="20"/>
                      <w:szCs w:val="20"/>
                    </w:rPr>
                    <w:t>e</w:t>
                  </w:r>
                  <w:r w:rsidRPr="00BF7956">
                    <w:rPr>
                      <w:color w:val="000000"/>
                      <w:sz w:val="20"/>
                      <w:szCs w:val="20"/>
                    </w:rPr>
                    <w:t xml:space="preserve"> centrale sau garantate de acestea.</w:t>
                  </w:r>
                </w:p>
              </w:tc>
            </w:tr>
          </w:tbl>
          <w:p w14:paraId="335DCBC2"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05EB32F" w14:textId="6F3CE13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C0CE68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5F44AFD" w14:textId="77777777" w:rsidR="008E3BA7" w:rsidRPr="00BF7956" w:rsidRDefault="008E3BA7" w:rsidP="008E3BA7">
            <w:pPr>
              <w:jc w:val="both"/>
              <w:rPr>
                <w:sz w:val="20"/>
                <w:szCs w:val="20"/>
                <w:lang w:val="ro-RO"/>
              </w:rPr>
            </w:pPr>
          </w:p>
        </w:tc>
        <w:tc>
          <w:tcPr>
            <w:tcW w:w="992" w:type="dxa"/>
          </w:tcPr>
          <w:p w14:paraId="17EDC17A" w14:textId="77777777" w:rsidR="008E3BA7" w:rsidRPr="00BF7956" w:rsidRDefault="008E3BA7" w:rsidP="008E3BA7">
            <w:pPr>
              <w:jc w:val="both"/>
              <w:rPr>
                <w:sz w:val="20"/>
                <w:szCs w:val="20"/>
                <w:lang w:val="ro-RO"/>
              </w:rPr>
            </w:pPr>
          </w:p>
        </w:tc>
      </w:tr>
      <w:tr w:rsidR="008E3BA7" w:rsidRPr="00BF7956" w14:paraId="08D50593"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7758BA21" w14:textId="77777777" w:rsidTr="00702C6E">
              <w:tc>
                <w:tcPr>
                  <w:tcW w:w="718" w:type="dxa"/>
                </w:tcPr>
                <w:p w14:paraId="0A1FB7D3" w14:textId="7F135CF1" w:rsidR="008E3BA7" w:rsidRPr="00BF7956" w:rsidRDefault="00637BB6"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430</w:t>
                  </w:r>
                </w:p>
              </w:tc>
              <w:tc>
                <w:tcPr>
                  <w:tcW w:w="3674" w:type="dxa"/>
                </w:tcPr>
                <w:p w14:paraId="7DDBE121" w14:textId="05FA3D64"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2.1.1.1.2</w:t>
                  </w:r>
                  <w:r w:rsidRPr="00BF7956">
                    <w:rPr>
                      <w:color w:val="000000"/>
                      <w:sz w:val="20"/>
                      <w:szCs w:val="20"/>
                    </w:rPr>
                    <w:t xml:space="preserve"> </w:t>
                  </w:r>
                  <w:r w:rsidRPr="00BF7956">
                    <w:rPr>
                      <w:b/>
                      <w:bCs/>
                      <w:color w:val="000000"/>
                      <w:sz w:val="20"/>
                      <w:szCs w:val="20"/>
                    </w:rPr>
                    <w:t xml:space="preserve">Active de nivel 1 (CQS 1) </w:t>
                  </w:r>
                  <w:r w:rsidR="00637BB6" w:rsidRPr="00BF7956">
                    <w:rPr>
                      <w:color w:val="000000"/>
                      <w:sz w:val="20"/>
                      <w:szCs w:val="20"/>
                    </w:rPr>
                    <w:t>Cuantumul intrărilor de numerar raportate la punctul 2.1.1.1, altele decât cele raportate la punctul 2.1.1.1.1, care sunt garantate cu active care reprezintă creanţe asupra unor emitenţi sau garanţi cărora li se atribuie nivelul 1 de calitate a creditului de către o ECAI desemnată sau creanţe care sunt garantate de aceștia.</w:t>
                  </w:r>
                </w:p>
              </w:tc>
            </w:tr>
          </w:tbl>
          <w:p w14:paraId="26136CD8"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13690C9B" w14:textId="77777777" w:rsidTr="00B47C2D">
              <w:tc>
                <w:tcPr>
                  <w:tcW w:w="718" w:type="dxa"/>
                </w:tcPr>
                <w:p w14:paraId="03378D70" w14:textId="5D3C313A"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430</w:t>
                  </w:r>
                </w:p>
              </w:tc>
              <w:tc>
                <w:tcPr>
                  <w:tcW w:w="3674" w:type="dxa"/>
                </w:tcPr>
                <w:p w14:paraId="63FC1E8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2.1.1.1.2</w:t>
                  </w:r>
                  <w:r w:rsidRPr="00BF7956">
                    <w:rPr>
                      <w:color w:val="000000"/>
                      <w:sz w:val="20"/>
                      <w:szCs w:val="20"/>
                    </w:rPr>
                    <w:t xml:space="preserve"> </w:t>
                  </w:r>
                  <w:r w:rsidRPr="00BF7956">
                    <w:rPr>
                      <w:b/>
                      <w:bCs/>
                      <w:color w:val="000000"/>
                      <w:sz w:val="20"/>
                      <w:szCs w:val="20"/>
                    </w:rPr>
                    <w:t xml:space="preserve">Active de nivel 1 (CQS 1) </w:t>
                  </w:r>
                </w:p>
                <w:p w14:paraId="0539BF35" w14:textId="2643E18E" w:rsidR="005B4BE1" w:rsidRPr="00BF7956" w:rsidRDefault="005B4BE1" w:rsidP="005B4BE1">
                  <w:pPr>
                    <w:framePr w:hSpace="180" w:wrap="around" w:vAnchor="text" w:hAnchor="margin" w:y="137"/>
                    <w:rPr>
                      <w:sz w:val="20"/>
                      <w:szCs w:val="20"/>
                      <w:lang w:val="ro-MD" w:eastAsia="en-US"/>
                    </w:rPr>
                  </w:pPr>
                  <w:r w:rsidRPr="00BF7956">
                    <w:rPr>
                      <w:sz w:val="20"/>
                      <w:szCs w:val="20"/>
                      <w:lang w:val="ro-MD" w:eastAsia="en-US"/>
                    </w:rPr>
                    <w:t xml:space="preserve">Cuantumul intrărilor de numerar raportate la punctul 2.1.1.1, altele decât cele raportate la punctul 2.1.1.1.1, garantate cu active care reprezintă creanțe </w:t>
                  </w:r>
                  <w:r w:rsidR="00817FE6">
                    <w:rPr>
                      <w:sz w:val="20"/>
                      <w:szCs w:val="20"/>
                      <w:lang w:val="ro-MD" w:eastAsia="en-US"/>
                    </w:rPr>
                    <w:t>față de unii</w:t>
                  </w:r>
                  <w:r w:rsidRPr="00BF7956">
                    <w:rPr>
                      <w:sz w:val="20"/>
                      <w:szCs w:val="20"/>
                      <w:lang w:val="ro-MD" w:eastAsia="en-US"/>
                    </w:rPr>
                    <w:t xml:space="preserve"> emitenți sau garanți cărora li se atribuie nivelul 1 de calitate a creditului de către o ECAI desemnată sau creanțe</w:t>
                  </w:r>
                  <w:r w:rsidR="00817FE6">
                    <w:rPr>
                      <w:sz w:val="20"/>
                      <w:szCs w:val="20"/>
                      <w:lang w:val="ro-MD" w:eastAsia="en-US"/>
                    </w:rPr>
                    <w:t xml:space="preserve"> </w:t>
                  </w:r>
                  <w:r w:rsidRPr="00BF7956">
                    <w:rPr>
                      <w:sz w:val="20"/>
                      <w:szCs w:val="20"/>
                      <w:lang w:val="ro-MD" w:eastAsia="en-US"/>
                    </w:rPr>
                    <w:t>garantate de aceștia.</w:t>
                  </w:r>
                </w:p>
              </w:tc>
            </w:tr>
          </w:tbl>
          <w:p w14:paraId="5243530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BD585CA" w14:textId="3E36C235" w:rsidR="008E3BA7" w:rsidRPr="00BF7956" w:rsidRDefault="008E3BA7" w:rsidP="008E3BA7">
            <w:pPr>
              <w:rPr>
                <w:b/>
                <w:strike/>
                <w:sz w:val="20"/>
                <w:szCs w:val="20"/>
                <w:lang w:val="en-US"/>
              </w:rPr>
            </w:pPr>
            <w:r w:rsidRPr="00BF7956">
              <w:rPr>
                <w:bCs/>
                <w:sz w:val="20"/>
                <w:szCs w:val="20"/>
                <w:lang w:val="ro-RO"/>
              </w:rPr>
              <w:t>Compatibil</w:t>
            </w:r>
          </w:p>
        </w:tc>
        <w:tc>
          <w:tcPr>
            <w:tcW w:w="2223" w:type="dxa"/>
          </w:tcPr>
          <w:p w14:paraId="497A8A7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D1E1F30" w14:textId="77777777" w:rsidR="008E3BA7" w:rsidRPr="00BF7956" w:rsidRDefault="008E3BA7" w:rsidP="008E3BA7">
            <w:pPr>
              <w:jc w:val="both"/>
              <w:rPr>
                <w:sz w:val="20"/>
                <w:szCs w:val="20"/>
                <w:lang w:val="ro-RO"/>
              </w:rPr>
            </w:pPr>
          </w:p>
        </w:tc>
        <w:tc>
          <w:tcPr>
            <w:tcW w:w="992" w:type="dxa"/>
          </w:tcPr>
          <w:p w14:paraId="079F643C" w14:textId="77777777" w:rsidR="008E3BA7" w:rsidRPr="00BF7956" w:rsidRDefault="008E3BA7" w:rsidP="008E3BA7">
            <w:pPr>
              <w:jc w:val="both"/>
              <w:rPr>
                <w:sz w:val="20"/>
                <w:szCs w:val="20"/>
                <w:lang w:val="ro-RO"/>
              </w:rPr>
            </w:pPr>
          </w:p>
        </w:tc>
      </w:tr>
      <w:tr w:rsidR="008E3BA7" w:rsidRPr="00BF7956" w14:paraId="50613271"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25BA4A7A" w14:textId="77777777" w:rsidTr="00AA788D">
              <w:tc>
                <w:tcPr>
                  <w:tcW w:w="718" w:type="dxa"/>
                </w:tcPr>
                <w:p w14:paraId="2A04CC89" w14:textId="01D29FE8" w:rsidR="008E3BA7" w:rsidRPr="00BF7956" w:rsidRDefault="00C7135D"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440</w:t>
                  </w:r>
                </w:p>
              </w:tc>
              <w:tc>
                <w:tcPr>
                  <w:tcW w:w="3674" w:type="dxa"/>
                </w:tcPr>
                <w:p w14:paraId="34A5EF6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2.1.1.1.3</w:t>
                  </w:r>
                  <w:r w:rsidRPr="00BF7956">
                    <w:rPr>
                      <w:color w:val="000000"/>
                      <w:sz w:val="20"/>
                      <w:szCs w:val="20"/>
                    </w:rPr>
                    <w:t xml:space="preserve"> </w:t>
                  </w:r>
                  <w:r w:rsidRPr="00BF7956">
                    <w:rPr>
                      <w:b/>
                      <w:bCs/>
                      <w:color w:val="000000"/>
                      <w:sz w:val="20"/>
                      <w:szCs w:val="20"/>
                    </w:rPr>
                    <w:t xml:space="preserve">Active de nivel 1 (CQS 2, CQS 3) </w:t>
                  </w:r>
                </w:p>
                <w:p w14:paraId="152774D8" w14:textId="0CEA68C0" w:rsidR="008E3BA7" w:rsidRPr="00BF7956" w:rsidRDefault="00C7135D"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2.1.1.1, altele decât cele raportate la punctul 2.1.1.1.1, care sunt garantate cu active care reprezintă creanţe asupra unor emitenţi sau garanţi cărora li se atribuie nivelul 2 sau 3 de calitate a creditului de către o ECAI desemnată sau creanţe care sunt garantate de aceștia.</w:t>
                  </w:r>
                </w:p>
              </w:tc>
            </w:tr>
          </w:tbl>
          <w:p w14:paraId="38936803"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24677C8B" w14:textId="77777777" w:rsidTr="00B47C2D">
              <w:tc>
                <w:tcPr>
                  <w:tcW w:w="718" w:type="dxa"/>
                </w:tcPr>
                <w:p w14:paraId="67341924" w14:textId="4D23DCBC"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440</w:t>
                  </w:r>
                </w:p>
              </w:tc>
              <w:tc>
                <w:tcPr>
                  <w:tcW w:w="3674" w:type="dxa"/>
                </w:tcPr>
                <w:p w14:paraId="54B56EB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2.1.1.1.3</w:t>
                  </w:r>
                  <w:r w:rsidRPr="00BF7956">
                    <w:rPr>
                      <w:color w:val="000000"/>
                      <w:sz w:val="20"/>
                      <w:szCs w:val="20"/>
                    </w:rPr>
                    <w:t xml:space="preserve"> </w:t>
                  </w:r>
                  <w:r w:rsidRPr="00BF7956">
                    <w:rPr>
                      <w:b/>
                      <w:bCs/>
                      <w:color w:val="000000"/>
                      <w:sz w:val="20"/>
                      <w:szCs w:val="20"/>
                    </w:rPr>
                    <w:t xml:space="preserve">Active de nivel 1 (CQS 2, CQS 3) </w:t>
                  </w:r>
                </w:p>
                <w:p w14:paraId="4F6658BF" w14:textId="242D09FA"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intrărilor de numerar raportate la punctul 2.1.1.1, altele decât cele raportate la punctul 2.1.1.1.1, garantate cu active care reprezintă creanțe </w:t>
                  </w:r>
                  <w:r w:rsidR="00817FE6">
                    <w:t xml:space="preserve"> </w:t>
                  </w:r>
                  <w:r w:rsidR="00817FE6" w:rsidRPr="00817FE6">
                    <w:rPr>
                      <w:color w:val="000000"/>
                      <w:sz w:val="20"/>
                      <w:szCs w:val="20"/>
                    </w:rPr>
                    <w:t xml:space="preserve">față de </w:t>
                  </w:r>
                  <w:r w:rsidR="00817FE6">
                    <w:rPr>
                      <w:color w:val="000000"/>
                      <w:sz w:val="20"/>
                      <w:szCs w:val="20"/>
                    </w:rPr>
                    <w:t>unii</w:t>
                  </w:r>
                  <w:r w:rsidRPr="00BF7956">
                    <w:rPr>
                      <w:color w:val="000000"/>
                      <w:sz w:val="20"/>
                      <w:szCs w:val="20"/>
                    </w:rPr>
                    <w:t xml:space="preserve"> emitenți sau garanți cărora li se atribuie nivelul 2 sau 3 de calitate a creditului de către o ECAI desemnată sau creanțe garantate de aceștia.</w:t>
                  </w:r>
                </w:p>
              </w:tc>
            </w:tr>
          </w:tbl>
          <w:p w14:paraId="0A0A0007"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CAFC437" w14:textId="5979105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E074A3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8B82BAD" w14:textId="77777777" w:rsidR="008E3BA7" w:rsidRPr="00BF7956" w:rsidRDefault="008E3BA7" w:rsidP="008E3BA7">
            <w:pPr>
              <w:jc w:val="both"/>
              <w:rPr>
                <w:sz w:val="20"/>
                <w:szCs w:val="20"/>
                <w:lang w:val="ro-RO"/>
              </w:rPr>
            </w:pPr>
          </w:p>
        </w:tc>
        <w:tc>
          <w:tcPr>
            <w:tcW w:w="992" w:type="dxa"/>
          </w:tcPr>
          <w:p w14:paraId="0C706F0E" w14:textId="77777777" w:rsidR="008E3BA7" w:rsidRPr="00BF7956" w:rsidRDefault="008E3BA7" w:rsidP="008E3BA7">
            <w:pPr>
              <w:jc w:val="both"/>
              <w:rPr>
                <w:sz w:val="20"/>
                <w:szCs w:val="20"/>
                <w:lang w:val="ro-RO"/>
              </w:rPr>
            </w:pPr>
          </w:p>
        </w:tc>
      </w:tr>
      <w:tr w:rsidR="008E3BA7" w:rsidRPr="00BF7956" w14:paraId="4319D498"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631930F5" w14:textId="77777777" w:rsidTr="00AA788D">
              <w:tc>
                <w:tcPr>
                  <w:tcW w:w="718" w:type="dxa"/>
                </w:tcPr>
                <w:p w14:paraId="76C7F326" w14:textId="17C14B58" w:rsidR="008E3BA7" w:rsidRPr="00BF7956" w:rsidRDefault="00C7135D"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450</w:t>
                  </w:r>
                </w:p>
              </w:tc>
              <w:tc>
                <w:tcPr>
                  <w:tcW w:w="3674" w:type="dxa"/>
                </w:tcPr>
                <w:p w14:paraId="796A77D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2.1.1.1.4</w:t>
                  </w:r>
                  <w:r w:rsidRPr="00BF7956">
                    <w:rPr>
                      <w:color w:val="000000"/>
                      <w:sz w:val="20"/>
                      <w:szCs w:val="20"/>
                    </w:rPr>
                    <w:t xml:space="preserve"> </w:t>
                  </w:r>
                  <w:r w:rsidRPr="00BF7956">
                    <w:rPr>
                      <w:b/>
                      <w:bCs/>
                      <w:color w:val="000000"/>
                      <w:sz w:val="20"/>
                      <w:szCs w:val="20"/>
                    </w:rPr>
                    <w:t xml:space="preserve">Active de nivel 1 (CQS 4+) </w:t>
                  </w:r>
                </w:p>
                <w:p w14:paraId="6FC7E7EC" w14:textId="12D56278" w:rsidR="00C7135D" w:rsidRPr="00BF7956" w:rsidRDefault="00C7135D" w:rsidP="00C7135D">
                  <w:pPr>
                    <w:framePr w:hSpace="180" w:wrap="around" w:vAnchor="text" w:hAnchor="margin" w:y="137"/>
                    <w:rPr>
                      <w:sz w:val="20"/>
                      <w:szCs w:val="20"/>
                      <w:lang w:val="ro-MD" w:eastAsia="en-US"/>
                    </w:rPr>
                  </w:pPr>
                  <w:r w:rsidRPr="00BF7956">
                    <w:rPr>
                      <w:sz w:val="20"/>
                      <w:szCs w:val="20"/>
                      <w:lang w:val="ro-MD" w:eastAsia="en-US"/>
                    </w:rPr>
                    <w:t>Cuantumul intrărilor de numerar raportate la punctul 2.1.1.1, altele decât cele raportate la punctul 2.1.1.1.1, care sunt garantate cu active care reprezintă creanţe asupra unor emitenţi sau garanţi cărora li se atribuie un nivel de calitate a creditului mai mare sau egal cu 4 de către o ECAI desemnată sau creanţe care sunt garantate de aceștia.</w:t>
                  </w:r>
                </w:p>
              </w:tc>
            </w:tr>
          </w:tbl>
          <w:p w14:paraId="31B354B1"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5D775ED5" w14:textId="77777777" w:rsidTr="00B47C2D">
              <w:tc>
                <w:tcPr>
                  <w:tcW w:w="718" w:type="dxa"/>
                </w:tcPr>
                <w:p w14:paraId="73C8309C" w14:textId="73D7E4F2"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450</w:t>
                  </w:r>
                </w:p>
              </w:tc>
              <w:tc>
                <w:tcPr>
                  <w:tcW w:w="3674" w:type="dxa"/>
                </w:tcPr>
                <w:p w14:paraId="61FDB78C" w14:textId="60B08D3C"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2.1.1.1.4</w:t>
                  </w:r>
                  <w:r w:rsidRPr="00BF7956">
                    <w:rPr>
                      <w:color w:val="000000"/>
                      <w:sz w:val="20"/>
                      <w:szCs w:val="20"/>
                    </w:rPr>
                    <w:t xml:space="preserve"> </w:t>
                  </w:r>
                  <w:r w:rsidRPr="00BF7956">
                    <w:rPr>
                      <w:b/>
                      <w:bCs/>
                      <w:color w:val="000000"/>
                      <w:sz w:val="20"/>
                      <w:szCs w:val="20"/>
                    </w:rPr>
                    <w:t xml:space="preserve">Active de nivel 1 (CQS 4+) </w:t>
                  </w:r>
                  <w:r w:rsidR="005B4BE1" w:rsidRPr="00BF7956">
                    <w:rPr>
                      <w:sz w:val="20"/>
                      <w:szCs w:val="20"/>
                    </w:rPr>
                    <w:t xml:space="preserve"> </w:t>
                  </w:r>
                  <w:r w:rsidR="005B4BE1" w:rsidRPr="00BF7956">
                    <w:rPr>
                      <w:color w:val="000000"/>
                      <w:sz w:val="20"/>
                      <w:szCs w:val="20"/>
                    </w:rPr>
                    <w:t xml:space="preserve">Cuantumul intrărilor de numerar raportate la punctul 2.1.1.1, altele decât cele raportate la punctul 2.1.1.1.1, garantate cu active care reprezintă creanțe </w:t>
                  </w:r>
                  <w:r w:rsidR="00817FE6" w:rsidRPr="00817FE6">
                    <w:rPr>
                      <w:color w:val="000000"/>
                      <w:sz w:val="20"/>
                      <w:szCs w:val="20"/>
                    </w:rPr>
                    <w:t xml:space="preserve">față de </w:t>
                  </w:r>
                  <w:r w:rsidR="00817FE6">
                    <w:rPr>
                      <w:color w:val="000000"/>
                      <w:sz w:val="20"/>
                      <w:szCs w:val="20"/>
                    </w:rPr>
                    <w:t xml:space="preserve">unii </w:t>
                  </w:r>
                  <w:r w:rsidR="005B4BE1" w:rsidRPr="00BF7956">
                    <w:rPr>
                      <w:color w:val="000000"/>
                      <w:sz w:val="20"/>
                      <w:szCs w:val="20"/>
                    </w:rPr>
                    <w:t>emitenți sau garanți cărora li se atribuie un nivel de calitate a creditului mai mare sau egal cu 4 de către o ECAI desemnată sau creanțe garantate de aceștia.</w:t>
                  </w:r>
                </w:p>
              </w:tc>
            </w:tr>
          </w:tbl>
          <w:p w14:paraId="47C4DE38"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68DF4F7" w14:textId="0E85EB0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EFB93C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4611049" w14:textId="77777777" w:rsidR="008E3BA7" w:rsidRPr="00BF7956" w:rsidRDefault="008E3BA7" w:rsidP="008E3BA7">
            <w:pPr>
              <w:jc w:val="both"/>
              <w:rPr>
                <w:sz w:val="20"/>
                <w:szCs w:val="20"/>
                <w:lang w:val="ro-RO"/>
              </w:rPr>
            </w:pPr>
          </w:p>
        </w:tc>
        <w:tc>
          <w:tcPr>
            <w:tcW w:w="992" w:type="dxa"/>
          </w:tcPr>
          <w:p w14:paraId="5ABA9603" w14:textId="77777777" w:rsidR="008E3BA7" w:rsidRPr="00BF7956" w:rsidRDefault="008E3BA7" w:rsidP="008E3BA7">
            <w:pPr>
              <w:jc w:val="both"/>
              <w:rPr>
                <w:sz w:val="20"/>
                <w:szCs w:val="20"/>
                <w:lang w:val="ro-RO"/>
              </w:rPr>
            </w:pPr>
          </w:p>
        </w:tc>
      </w:tr>
      <w:tr w:rsidR="008E3BA7" w:rsidRPr="002C43F1" w14:paraId="3FD3A746"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3359514B" w14:textId="77777777" w:rsidTr="00AA788D">
              <w:tc>
                <w:tcPr>
                  <w:tcW w:w="718" w:type="dxa"/>
                </w:tcPr>
                <w:p w14:paraId="58781A51" w14:textId="6B285033" w:rsidR="008E3BA7" w:rsidRPr="00BF7956" w:rsidRDefault="00C7135D"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460</w:t>
                  </w:r>
                </w:p>
              </w:tc>
              <w:tc>
                <w:tcPr>
                  <w:tcW w:w="3674" w:type="dxa"/>
                </w:tcPr>
                <w:p w14:paraId="066F1D8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2.1.1.2</w:t>
                  </w:r>
                  <w:r w:rsidRPr="00BF7956">
                    <w:rPr>
                      <w:color w:val="000000"/>
                      <w:sz w:val="20"/>
                      <w:szCs w:val="20"/>
                    </w:rPr>
                    <w:t xml:space="preserve"> </w:t>
                  </w:r>
                  <w:r w:rsidRPr="00BF7956">
                    <w:rPr>
                      <w:b/>
                      <w:bCs/>
                      <w:color w:val="000000"/>
                      <w:sz w:val="20"/>
                      <w:szCs w:val="20"/>
                    </w:rPr>
                    <w:t xml:space="preserve">Obligaţiuni garantate de nivel 1 (CQS 1) </w:t>
                  </w:r>
                </w:p>
                <w:p w14:paraId="1296842C" w14:textId="26729726" w:rsidR="008E3BA7" w:rsidRPr="00BF7956" w:rsidRDefault="00C7135D"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2.1.1 care sunt garantate cu active care sunt obligaţiuni garantate. A se reţine faptul că, în conformitate cu articolul 10 alineatul (1) litera (f) din Regulamentul delegat (UE) 2015/61, numai obligaţiunile garantate cu nivelul 1 de calitate a creditului (CQS 1) sunt eligibile ca active de nivel 1.</w:t>
                  </w:r>
                </w:p>
              </w:tc>
            </w:tr>
          </w:tbl>
          <w:p w14:paraId="29CE4BF7"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4B53CAB1" w14:textId="77777777" w:rsidTr="00B47C2D">
              <w:tc>
                <w:tcPr>
                  <w:tcW w:w="718" w:type="dxa"/>
                </w:tcPr>
                <w:p w14:paraId="6A21D5A5" w14:textId="3F1A90CC"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460</w:t>
                  </w:r>
                </w:p>
              </w:tc>
              <w:tc>
                <w:tcPr>
                  <w:tcW w:w="3674" w:type="dxa"/>
                </w:tcPr>
                <w:p w14:paraId="242EC52B"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2.1.1.2</w:t>
                  </w:r>
                  <w:r w:rsidRPr="00BF7956">
                    <w:rPr>
                      <w:color w:val="000000"/>
                      <w:sz w:val="20"/>
                      <w:szCs w:val="20"/>
                    </w:rPr>
                    <w:t xml:space="preserve"> </w:t>
                  </w:r>
                  <w:r w:rsidRPr="00BF7956">
                    <w:rPr>
                      <w:b/>
                      <w:bCs/>
                      <w:color w:val="000000"/>
                      <w:sz w:val="20"/>
                      <w:szCs w:val="20"/>
                    </w:rPr>
                    <w:t xml:space="preserve">Obligaţiuni garantate de nivel 1 (CQS 1) </w:t>
                  </w:r>
                </w:p>
                <w:p w14:paraId="2F0E1BF8" w14:textId="7931AA1D" w:rsidR="008E3BA7" w:rsidRPr="00BF7956" w:rsidRDefault="008E3BA7" w:rsidP="008E3BA7">
                  <w:pPr>
                    <w:pStyle w:val="CM4"/>
                    <w:framePr w:hSpace="180" w:wrap="around" w:vAnchor="text" w:hAnchor="margin" w:y="137"/>
                    <w:spacing w:before="60" w:after="60"/>
                    <w:rPr>
                      <w:color w:val="000000"/>
                      <w:sz w:val="20"/>
                      <w:szCs w:val="20"/>
                    </w:rPr>
                  </w:pPr>
                </w:p>
              </w:tc>
            </w:tr>
          </w:tbl>
          <w:p w14:paraId="6A451D51"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78829D6A" w14:textId="411FE1D0"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45DDE86A" w14:textId="5440E2A8"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6D29FC8D" w14:textId="77777777" w:rsidR="008E3BA7" w:rsidRPr="00BF7956" w:rsidRDefault="008E3BA7" w:rsidP="008E3BA7">
            <w:pPr>
              <w:jc w:val="both"/>
              <w:rPr>
                <w:sz w:val="20"/>
                <w:szCs w:val="20"/>
                <w:lang w:val="ro-RO"/>
              </w:rPr>
            </w:pPr>
          </w:p>
        </w:tc>
        <w:tc>
          <w:tcPr>
            <w:tcW w:w="992" w:type="dxa"/>
          </w:tcPr>
          <w:p w14:paraId="7ECAA973" w14:textId="77777777" w:rsidR="008E3BA7" w:rsidRPr="00BF7956" w:rsidRDefault="008E3BA7" w:rsidP="008E3BA7">
            <w:pPr>
              <w:jc w:val="both"/>
              <w:rPr>
                <w:sz w:val="20"/>
                <w:szCs w:val="20"/>
                <w:lang w:val="ro-RO"/>
              </w:rPr>
            </w:pPr>
          </w:p>
        </w:tc>
      </w:tr>
      <w:tr w:rsidR="008E3BA7" w:rsidRPr="00BF7956" w14:paraId="7C589A43" w14:textId="77777777" w:rsidTr="00C25F84">
        <w:tc>
          <w:tcPr>
            <w:tcW w:w="4576" w:type="dxa"/>
          </w:tcPr>
          <w:tbl>
            <w:tblPr>
              <w:tblStyle w:val="TableGrid"/>
              <w:tblW w:w="4392" w:type="dxa"/>
              <w:tblLayout w:type="fixed"/>
              <w:tblLook w:val="04A0" w:firstRow="1" w:lastRow="0" w:firstColumn="1" w:lastColumn="0" w:noHBand="0" w:noVBand="1"/>
            </w:tblPr>
            <w:tblGrid>
              <w:gridCol w:w="718"/>
              <w:gridCol w:w="3674"/>
            </w:tblGrid>
            <w:tr w:rsidR="008E3BA7" w:rsidRPr="002C43F1" w14:paraId="77B43929" w14:textId="77777777" w:rsidTr="00A779F2">
              <w:tc>
                <w:tcPr>
                  <w:tcW w:w="718" w:type="dxa"/>
                </w:tcPr>
                <w:p w14:paraId="049084C3" w14:textId="151D5198" w:rsidR="008E3BA7" w:rsidRPr="00BF7956" w:rsidRDefault="00C7135D"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470</w:t>
                  </w:r>
                </w:p>
              </w:tc>
              <w:tc>
                <w:tcPr>
                  <w:tcW w:w="3674" w:type="dxa"/>
                </w:tcPr>
                <w:p w14:paraId="6F2C1BD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2.1.2</w:t>
                  </w:r>
                  <w:r w:rsidRPr="00BF7956">
                    <w:rPr>
                      <w:color w:val="000000"/>
                      <w:sz w:val="20"/>
                      <w:szCs w:val="20"/>
                    </w:rPr>
                    <w:t xml:space="preserve"> </w:t>
                  </w:r>
                  <w:r w:rsidRPr="00BF7956">
                    <w:rPr>
                      <w:b/>
                      <w:bCs/>
                      <w:color w:val="000000"/>
                      <w:sz w:val="20"/>
                      <w:szCs w:val="20"/>
                    </w:rPr>
                    <w:t xml:space="preserve">Active tranzacţionabile de nivel 2A </w:t>
                  </w:r>
                </w:p>
                <w:p w14:paraId="3741F080" w14:textId="0EE45E93" w:rsidR="00C7135D" w:rsidRPr="00BF7956" w:rsidRDefault="00C7135D" w:rsidP="00C7135D">
                  <w:pPr>
                    <w:framePr w:hSpace="180" w:wrap="around" w:vAnchor="text" w:hAnchor="margin" w:y="137"/>
                    <w:rPr>
                      <w:sz w:val="20"/>
                      <w:szCs w:val="20"/>
                      <w:lang w:val="ro-MD" w:eastAsia="en-US"/>
                    </w:rPr>
                  </w:pPr>
                  <w:r w:rsidRPr="00BF7956">
                    <w:rPr>
                      <w:sz w:val="20"/>
                      <w:szCs w:val="20"/>
                      <w:lang w:val="ro-MD" w:eastAsia="en-US"/>
                    </w:rPr>
                    <w:t>Cuantumul intrărilor de numerar raportate la punctul 2.1 care sunt garantate cu active tranzacţionabile în conformitate cu articolele 7, 8 și 11 din Regulamentul delegat (UE) 2015/61. Acţiunile sau unităţile deţinute în OPC-uri în conformitate cu articolul 15 din Regulamentul delegat (UE) 2015/61 care se califică drept active de nivel 2A se raportează în subcategoriile de mai jos corespunzătoare activelor-suport ale acestora.</w:t>
                  </w:r>
                </w:p>
              </w:tc>
            </w:tr>
          </w:tbl>
          <w:p w14:paraId="026EA7A8"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2" w:type="dxa"/>
              <w:tblLayout w:type="fixed"/>
              <w:tblLook w:val="04A0" w:firstRow="1" w:lastRow="0" w:firstColumn="1" w:lastColumn="0" w:noHBand="0" w:noVBand="1"/>
            </w:tblPr>
            <w:tblGrid>
              <w:gridCol w:w="718"/>
              <w:gridCol w:w="3674"/>
            </w:tblGrid>
            <w:tr w:rsidR="008E3BA7" w:rsidRPr="002C43F1" w14:paraId="650EA302" w14:textId="77777777" w:rsidTr="00B47C2D">
              <w:tc>
                <w:tcPr>
                  <w:tcW w:w="718" w:type="dxa"/>
                </w:tcPr>
                <w:p w14:paraId="144E8599" w14:textId="58509FE5"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470</w:t>
                  </w:r>
                </w:p>
              </w:tc>
              <w:tc>
                <w:tcPr>
                  <w:tcW w:w="3674" w:type="dxa"/>
                </w:tcPr>
                <w:p w14:paraId="38878E37" w14:textId="0CD0C0AA" w:rsidR="005B4BE1" w:rsidRPr="00BF7956" w:rsidRDefault="008E3BA7" w:rsidP="005B4BE1">
                  <w:pPr>
                    <w:framePr w:hSpace="180" w:wrap="around" w:vAnchor="text" w:hAnchor="margin" w:y="137"/>
                    <w:spacing w:before="60"/>
                    <w:rPr>
                      <w:color w:val="333333"/>
                      <w:sz w:val="20"/>
                      <w:szCs w:val="20"/>
                      <w:lang w:val="it-IT" w:eastAsia="ro-MD"/>
                    </w:rPr>
                  </w:pPr>
                  <w:r w:rsidRPr="00101940">
                    <w:rPr>
                      <w:b/>
                      <w:bCs/>
                      <w:color w:val="000000"/>
                      <w:sz w:val="20"/>
                      <w:szCs w:val="20"/>
                      <w:lang w:val="it-IT"/>
                    </w:rPr>
                    <w:t>2.1.2</w:t>
                  </w:r>
                  <w:r w:rsidRPr="00BF7956">
                    <w:rPr>
                      <w:color w:val="000000"/>
                      <w:sz w:val="20"/>
                      <w:szCs w:val="20"/>
                      <w:lang w:val="it-IT"/>
                    </w:rPr>
                    <w:t xml:space="preserve"> </w:t>
                  </w:r>
                  <w:r w:rsidRPr="00BF7956">
                    <w:rPr>
                      <w:b/>
                      <w:bCs/>
                      <w:color w:val="000000"/>
                      <w:sz w:val="20"/>
                      <w:szCs w:val="20"/>
                      <w:lang w:val="it-IT"/>
                    </w:rPr>
                    <w:t xml:space="preserve">Active tranzacţionabile de nivel 2A </w:t>
                  </w:r>
                  <w:r w:rsidRPr="00BF7956">
                    <w:rPr>
                      <w:color w:val="333333"/>
                      <w:sz w:val="20"/>
                      <w:szCs w:val="20"/>
                      <w:lang w:val="it-IT" w:eastAsia="ro-MD"/>
                    </w:rPr>
                    <w:t xml:space="preserve"> </w:t>
                  </w:r>
                  <w:r w:rsidR="005B4BE1" w:rsidRPr="00BF7956">
                    <w:rPr>
                      <w:sz w:val="20"/>
                      <w:szCs w:val="20"/>
                      <w:lang w:val="en-US"/>
                    </w:rPr>
                    <w:t xml:space="preserve"> </w:t>
                  </w:r>
                  <w:r w:rsidR="005B4BE1" w:rsidRPr="00BF7956">
                    <w:rPr>
                      <w:color w:val="333333"/>
                      <w:sz w:val="20"/>
                      <w:szCs w:val="20"/>
                      <w:lang w:val="it-IT" w:eastAsia="ro-MD"/>
                    </w:rPr>
                    <w:t xml:space="preserve">Cuantumul intrărilor de numerar raportate la punctul 2.1 garantate cu active tranzacționabile în conformitate cu punctele 21-29, 33 și 34 din Regulamentul nr.44/2020 privind cerinţele de acoperire a necesarului de lichiditate pentru bănci. </w:t>
                  </w:r>
                </w:p>
                <w:p w14:paraId="2367ED7D" w14:textId="4367AA4C" w:rsidR="008E3BA7" w:rsidRPr="00BF7956" w:rsidRDefault="005B4BE1" w:rsidP="005B4BE1">
                  <w:pPr>
                    <w:pStyle w:val="CM4"/>
                    <w:framePr w:hSpace="180" w:wrap="around" w:vAnchor="text" w:hAnchor="margin" w:y="137"/>
                    <w:spacing w:before="60"/>
                    <w:rPr>
                      <w:color w:val="000000"/>
                      <w:sz w:val="20"/>
                      <w:szCs w:val="20"/>
                    </w:rPr>
                  </w:pPr>
                  <w:r w:rsidRPr="00BF7956">
                    <w:rPr>
                      <w:color w:val="333333"/>
                      <w:sz w:val="20"/>
                      <w:szCs w:val="20"/>
                      <w:lang w:val="it-IT" w:eastAsia="ro-MD"/>
                    </w:rPr>
                    <w:t>Acțiunile sau unitățile deținute în OPC-uri în conformitate cu punctele 37-41 din Regulamentul nr.44/2020 privind cerinţele de acoperire a necesarului de lichiditate pentru bănci care se califică drept active de nivel 2A se raportează în subcategoriile de mai jos corespunzătoare activelor-suport ale acestora.</w:t>
                  </w:r>
                </w:p>
              </w:tc>
            </w:tr>
          </w:tbl>
          <w:p w14:paraId="6A228091"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48AB1EC8" w14:textId="0FFD177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7C8C2E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BEA3FD6" w14:textId="77777777" w:rsidR="008E3BA7" w:rsidRPr="00BF7956" w:rsidRDefault="008E3BA7" w:rsidP="008E3BA7">
            <w:pPr>
              <w:jc w:val="both"/>
              <w:rPr>
                <w:sz w:val="20"/>
                <w:szCs w:val="20"/>
                <w:lang w:val="ro-RO"/>
              </w:rPr>
            </w:pPr>
          </w:p>
        </w:tc>
        <w:tc>
          <w:tcPr>
            <w:tcW w:w="992" w:type="dxa"/>
          </w:tcPr>
          <w:p w14:paraId="049FAA65" w14:textId="77777777" w:rsidR="008E3BA7" w:rsidRPr="00BF7956" w:rsidRDefault="008E3BA7" w:rsidP="008E3BA7">
            <w:pPr>
              <w:jc w:val="both"/>
              <w:rPr>
                <w:sz w:val="20"/>
                <w:szCs w:val="20"/>
                <w:lang w:val="ro-RO"/>
              </w:rPr>
            </w:pPr>
          </w:p>
        </w:tc>
      </w:tr>
      <w:tr w:rsidR="008E3BA7" w:rsidRPr="00BF7956" w14:paraId="196645CD" w14:textId="77777777" w:rsidTr="00C25F84">
        <w:tc>
          <w:tcPr>
            <w:tcW w:w="4576" w:type="dxa"/>
          </w:tcPr>
          <w:tbl>
            <w:tblPr>
              <w:tblStyle w:val="TableGrid"/>
              <w:tblW w:w="4388" w:type="dxa"/>
              <w:tblLayout w:type="fixed"/>
              <w:tblLook w:val="04A0" w:firstRow="1" w:lastRow="0" w:firstColumn="1" w:lastColumn="0" w:noHBand="0" w:noVBand="1"/>
            </w:tblPr>
            <w:tblGrid>
              <w:gridCol w:w="849"/>
              <w:gridCol w:w="3539"/>
            </w:tblGrid>
            <w:tr w:rsidR="008E3BA7" w:rsidRPr="002C43F1" w14:paraId="20B59F67" w14:textId="77777777" w:rsidTr="00A779F2">
              <w:tc>
                <w:tcPr>
                  <w:tcW w:w="849" w:type="dxa"/>
                </w:tcPr>
                <w:p w14:paraId="5801D1DB" w14:textId="64FC8E69" w:rsidR="008E3BA7" w:rsidRPr="00BF7956" w:rsidRDefault="00C7135D" w:rsidP="008E3BA7">
                  <w:pPr>
                    <w:pStyle w:val="CM4"/>
                    <w:framePr w:hSpace="180" w:wrap="around" w:vAnchor="text" w:hAnchor="margin" w:y="137"/>
                    <w:spacing w:before="60" w:after="60"/>
                    <w:ind w:right="327"/>
                    <w:rPr>
                      <w:i/>
                      <w:iCs/>
                      <w:color w:val="000000"/>
                      <w:sz w:val="20"/>
                      <w:szCs w:val="20"/>
                      <w:lang w:val="ro-RO"/>
                    </w:rPr>
                  </w:pPr>
                  <w:r w:rsidRPr="00BF7956">
                    <w:rPr>
                      <w:color w:val="000000"/>
                      <w:sz w:val="20"/>
                      <w:szCs w:val="20"/>
                      <w:lang w:val="ro-RO"/>
                    </w:rPr>
                    <w:t>0</w:t>
                  </w:r>
                  <w:r w:rsidR="008E3BA7" w:rsidRPr="00BF7956">
                    <w:rPr>
                      <w:color w:val="000000"/>
                      <w:sz w:val="20"/>
                      <w:szCs w:val="20"/>
                      <w:lang w:val="ro-RO"/>
                    </w:rPr>
                    <w:t>4</w:t>
                  </w:r>
                  <w:r w:rsidR="008E3BA7" w:rsidRPr="00BF7956">
                    <w:rPr>
                      <w:color w:val="000000"/>
                      <w:sz w:val="20"/>
                      <w:szCs w:val="20"/>
                    </w:rPr>
                    <w:t>80</w:t>
                  </w:r>
                </w:p>
              </w:tc>
              <w:tc>
                <w:tcPr>
                  <w:tcW w:w="3539" w:type="dxa"/>
                </w:tcPr>
                <w:p w14:paraId="34DACB4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2.1.2.1</w:t>
                  </w:r>
                  <w:r w:rsidRPr="00BF7956">
                    <w:rPr>
                      <w:color w:val="000000"/>
                      <w:sz w:val="20"/>
                      <w:szCs w:val="20"/>
                    </w:rPr>
                    <w:t xml:space="preserve"> </w:t>
                  </w:r>
                  <w:r w:rsidRPr="00BF7956">
                    <w:rPr>
                      <w:b/>
                      <w:bCs/>
                      <w:color w:val="000000"/>
                      <w:sz w:val="20"/>
                      <w:szCs w:val="20"/>
                    </w:rPr>
                    <w:t xml:space="preserve">Obligaţiuni corporative de nivel 2A (CQS 1) </w:t>
                  </w:r>
                </w:p>
                <w:p w14:paraId="58DC910E" w14:textId="3B69E1F8" w:rsidR="008E3BA7" w:rsidRPr="00BF7956" w:rsidRDefault="003F29DC"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2.1.2 care sunt garantate cu obligaţiuni corporative cărora li se atribuie nivelul 1 de calitate a creditului de către o ECAI desemnată.</w:t>
                  </w:r>
                </w:p>
              </w:tc>
            </w:tr>
          </w:tbl>
          <w:p w14:paraId="42CDCE6E"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01762481" w14:textId="77777777" w:rsidTr="00B47C2D">
              <w:tc>
                <w:tcPr>
                  <w:tcW w:w="860" w:type="dxa"/>
                </w:tcPr>
                <w:p w14:paraId="2FA80B14" w14:textId="2812F753" w:rsidR="008E3BA7" w:rsidRPr="00BF7956" w:rsidRDefault="005B4BE1" w:rsidP="008E3BA7">
                  <w:pPr>
                    <w:pStyle w:val="CM4"/>
                    <w:framePr w:hSpace="180" w:wrap="around" w:vAnchor="text" w:hAnchor="margin" w:y="137"/>
                    <w:spacing w:before="60" w:after="60"/>
                    <w:ind w:right="327"/>
                    <w:rPr>
                      <w:i/>
                      <w:iCs/>
                      <w:color w:val="000000"/>
                      <w:sz w:val="20"/>
                      <w:szCs w:val="20"/>
                      <w:lang w:val="ro-RO"/>
                    </w:rPr>
                  </w:pPr>
                  <w:r w:rsidRPr="00BF7956">
                    <w:rPr>
                      <w:color w:val="000000"/>
                      <w:sz w:val="20"/>
                      <w:szCs w:val="20"/>
                      <w:lang w:val="ro-RO"/>
                    </w:rPr>
                    <w:t>0</w:t>
                  </w:r>
                  <w:r w:rsidR="008E3BA7" w:rsidRPr="00BF7956">
                    <w:rPr>
                      <w:color w:val="000000"/>
                      <w:sz w:val="20"/>
                      <w:szCs w:val="20"/>
                      <w:lang w:val="ro-RO"/>
                    </w:rPr>
                    <w:t>4</w:t>
                  </w:r>
                  <w:r w:rsidR="008E3BA7" w:rsidRPr="00BF7956">
                    <w:rPr>
                      <w:color w:val="000000"/>
                      <w:sz w:val="20"/>
                      <w:szCs w:val="20"/>
                    </w:rPr>
                    <w:t>80</w:t>
                  </w:r>
                </w:p>
              </w:tc>
              <w:tc>
                <w:tcPr>
                  <w:tcW w:w="3539" w:type="dxa"/>
                </w:tcPr>
                <w:p w14:paraId="5CBDBFD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2.1.2.1</w:t>
                  </w:r>
                  <w:r w:rsidRPr="00BF7956">
                    <w:rPr>
                      <w:color w:val="000000"/>
                      <w:sz w:val="20"/>
                      <w:szCs w:val="20"/>
                    </w:rPr>
                    <w:t xml:space="preserve"> </w:t>
                  </w:r>
                  <w:r w:rsidRPr="00BF7956">
                    <w:rPr>
                      <w:b/>
                      <w:bCs/>
                      <w:color w:val="000000"/>
                      <w:sz w:val="20"/>
                      <w:szCs w:val="20"/>
                    </w:rPr>
                    <w:t xml:space="preserve">Obligaţiuni corporative de nivel 2A (CQS 1) </w:t>
                  </w:r>
                </w:p>
                <w:p w14:paraId="7674FF61" w14:textId="3F7C030A"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2.1.2 garantate cu obligațiuni corporative cărora li se atribuie nivelul 1 de calitate a creditului de către o ECAI desemnată.</w:t>
                  </w:r>
                </w:p>
              </w:tc>
            </w:tr>
          </w:tbl>
          <w:p w14:paraId="6C752282"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4B9B92E" w14:textId="06503C8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401FF8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BB52534" w14:textId="77777777" w:rsidR="008E3BA7" w:rsidRPr="00BF7956" w:rsidRDefault="008E3BA7" w:rsidP="008E3BA7">
            <w:pPr>
              <w:jc w:val="both"/>
              <w:rPr>
                <w:sz w:val="20"/>
                <w:szCs w:val="20"/>
                <w:lang w:val="ro-RO"/>
              </w:rPr>
            </w:pPr>
          </w:p>
        </w:tc>
        <w:tc>
          <w:tcPr>
            <w:tcW w:w="992" w:type="dxa"/>
          </w:tcPr>
          <w:p w14:paraId="0F610E17" w14:textId="77777777" w:rsidR="008E3BA7" w:rsidRPr="00BF7956" w:rsidRDefault="008E3BA7" w:rsidP="008E3BA7">
            <w:pPr>
              <w:jc w:val="both"/>
              <w:rPr>
                <w:sz w:val="20"/>
                <w:szCs w:val="20"/>
                <w:lang w:val="ro-RO"/>
              </w:rPr>
            </w:pPr>
          </w:p>
        </w:tc>
      </w:tr>
      <w:tr w:rsidR="008E3BA7" w:rsidRPr="00BF7956" w14:paraId="25699774" w14:textId="77777777" w:rsidTr="00C25F84">
        <w:tc>
          <w:tcPr>
            <w:tcW w:w="4576" w:type="dxa"/>
          </w:tcPr>
          <w:tbl>
            <w:tblPr>
              <w:tblStyle w:val="TableGrid"/>
              <w:tblW w:w="4401" w:type="dxa"/>
              <w:tblLayout w:type="fixed"/>
              <w:tblLook w:val="04A0" w:firstRow="1" w:lastRow="0" w:firstColumn="1" w:lastColumn="0" w:noHBand="0" w:noVBand="1"/>
            </w:tblPr>
            <w:tblGrid>
              <w:gridCol w:w="847"/>
              <w:gridCol w:w="3554"/>
            </w:tblGrid>
            <w:tr w:rsidR="008E3BA7" w:rsidRPr="002C43F1" w14:paraId="33EB51F6" w14:textId="77777777" w:rsidTr="00A779F2">
              <w:tc>
                <w:tcPr>
                  <w:tcW w:w="847" w:type="dxa"/>
                </w:tcPr>
                <w:p w14:paraId="72B0F9AC" w14:textId="24BB5299" w:rsidR="008E3BA7" w:rsidRPr="00BF7956" w:rsidRDefault="004E39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490</w:t>
                  </w:r>
                </w:p>
              </w:tc>
              <w:tc>
                <w:tcPr>
                  <w:tcW w:w="3554" w:type="dxa"/>
                </w:tcPr>
                <w:p w14:paraId="5746F171"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2.1.2.2</w:t>
                  </w:r>
                  <w:r w:rsidRPr="00BF7956">
                    <w:rPr>
                      <w:color w:val="000000"/>
                      <w:sz w:val="20"/>
                      <w:szCs w:val="20"/>
                    </w:rPr>
                    <w:t xml:space="preserve"> </w:t>
                  </w:r>
                  <w:r w:rsidRPr="00BF7956">
                    <w:rPr>
                      <w:b/>
                      <w:bCs/>
                      <w:color w:val="000000"/>
                      <w:sz w:val="20"/>
                      <w:szCs w:val="20"/>
                    </w:rPr>
                    <w:t xml:space="preserve">Obligaţiuni garantate de nivel 2A (CQS 1, CQS 2) </w:t>
                  </w:r>
                </w:p>
                <w:p w14:paraId="0A6731BA" w14:textId="409B9D3E" w:rsidR="008E3BA7" w:rsidRPr="00BF7956" w:rsidRDefault="004E39BC"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2.1.2 care sunt garantate cu obligaţiuni garantate cărora li se atribuie nivelul 1 sau 2 de calitate a creditului de către o ECAI desemnată.</w:t>
                  </w:r>
                </w:p>
              </w:tc>
            </w:tr>
          </w:tbl>
          <w:p w14:paraId="3FEB7CBB"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01" w:type="dxa"/>
              <w:tblLayout w:type="fixed"/>
              <w:tblLook w:val="04A0" w:firstRow="1" w:lastRow="0" w:firstColumn="1" w:lastColumn="0" w:noHBand="0" w:noVBand="1"/>
            </w:tblPr>
            <w:tblGrid>
              <w:gridCol w:w="847"/>
              <w:gridCol w:w="3554"/>
            </w:tblGrid>
            <w:tr w:rsidR="008E3BA7" w:rsidRPr="002C43F1" w14:paraId="57062928" w14:textId="77777777" w:rsidTr="00B47C2D">
              <w:tc>
                <w:tcPr>
                  <w:tcW w:w="847" w:type="dxa"/>
                </w:tcPr>
                <w:p w14:paraId="7A429C3F" w14:textId="09FCD758"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490</w:t>
                  </w:r>
                </w:p>
              </w:tc>
              <w:tc>
                <w:tcPr>
                  <w:tcW w:w="3554" w:type="dxa"/>
                </w:tcPr>
                <w:p w14:paraId="55FFF27A" w14:textId="3566195F"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2.1.2.2</w:t>
                  </w:r>
                  <w:r w:rsidRPr="00BF7956">
                    <w:rPr>
                      <w:color w:val="000000"/>
                      <w:sz w:val="20"/>
                      <w:szCs w:val="20"/>
                    </w:rPr>
                    <w:t xml:space="preserve"> </w:t>
                  </w:r>
                  <w:r w:rsidRPr="00BF7956">
                    <w:rPr>
                      <w:b/>
                      <w:bCs/>
                      <w:color w:val="000000"/>
                      <w:sz w:val="20"/>
                      <w:szCs w:val="20"/>
                    </w:rPr>
                    <w:t xml:space="preserve">Obligaţiuni garantate de nivel 2A (CQS 1, CQS 2) </w:t>
                  </w:r>
                </w:p>
              </w:tc>
            </w:tr>
          </w:tbl>
          <w:p w14:paraId="481CF211"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97F51BE" w14:textId="4F2DA92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46F982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82CD781" w14:textId="77777777" w:rsidR="008E3BA7" w:rsidRPr="00BF7956" w:rsidRDefault="008E3BA7" w:rsidP="008E3BA7">
            <w:pPr>
              <w:jc w:val="both"/>
              <w:rPr>
                <w:sz w:val="20"/>
                <w:szCs w:val="20"/>
                <w:lang w:val="ro-RO"/>
              </w:rPr>
            </w:pPr>
          </w:p>
        </w:tc>
        <w:tc>
          <w:tcPr>
            <w:tcW w:w="992" w:type="dxa"/>
          </w:tcPr>
          <w:p w14:paraId="3B542058" w14:textId="77777777" w:rsidR="008E3BA7" w:rsidRPr="00BF7956" w:rsidRDefault="008E3BA7" w:rsidP="008E3BA7">
            <w:pPr>
              <w:jc w:val="both"/>
              <w:rPr>
                <w:sz w:val="20"/>
                <w:szCs w:val="20"/>
                <w:lang w:val="ro-RO"/>
              </w:rPr>
            </w:pPr>
          </w:p>
        </w:tc>
      </w:tr>
      <w:tr w:rsidR="008E3BA7" w:rsidRPr="00BF7956" w14:paraId="02D437B4"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0AA895B8" w14:textId="77777777" w:rsidTr="005942B1">
              <w:tc>
                <w:tcPr>
                  <w:tcW w:w="860" w:type="dxa"/>
                </w:tcPr>
                <w:p w14:paraId="65B41658" w14:textId="2CEC213A" w:rsidR="008E3BA7" w:rsidRPr="00BF7956" w:rsidRDefault="004E39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500</w:t>
                  </w:r>
                </w:p>
              </w:tc>
              <w:tc>
                <w:tcPr>
                  <w:tcW w:w="3539" w:type="dxa"/>
                </w:tcPr>
                <w:p w14:paraId="5ACB9B92"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2.1.2.3</w:t>
                  </w:r>
                  <w:r w:rsidRPr="00BF7956">
                    <w:rPr>
                      <w:color w:val="000000"/>
                      <w:sz w:val="20"/>
                      <w:szCs w:val="20"/>
                    </w:rPr>
                    <w:t xml:space="preserve"> </w:t>
                  </w:r>
                  <w:r w:rsidRPr="00BF7956">
                    <w:rPr>
                      <w:b/>
                      <w:bCs/>
                      <w:color w:val="000000"/>
                      <w:sz w:val="20"/>
                      <w:szCs w:val="20"/>
                    </w:rPr>
                    <w:t xml:space="preserve">Active de nivel 2A aferente sectorului public (CQS 1, CQS 2) </w:t>
                  </w:r>
                </w:p>
                <w:p w14:paraId="48CA0EDA" w14:textId="7FE4131C" w:rsidR="004E39BC" w:rsidRPr="00BF7956" w:rsidRDefault="004E39BC" w:rsidP="004E39BC">
                  <w:pPr>
                    <w:framePr w:hSpace="180" w:wrap="around" w:vAnchor="text" w:hAnchor="margin" w:y="137"/>
                    <w:rPr>
                      <w:sz w:val="20"/>
                      <w:szCs w:val="20"/>
                      <w:lang w:val="ro-MD" w:eastAsia="en-US"/>
                    </w:rPr>
                  </w:pPr>
                  <w:r w:rsidRPr="00BF7956">
                    <w:rPr>
                      <w:sz w:val="20"/>
                      <w:szCs w:val="20"/>
                      <w:lang w:val="ro-MD" w:eastAsia="en-US"/>
                    </w:rPr>
                    <w:t>Cuantumul intrărilor de numerar raportate la punctul 2.1.2 care sunt garantate cu active care reprezintă creanţe asupra administraţiilor centrale, băncilor centrale, autorităţilor regionale, autorităţilor locale sau entităţilor din sectorul public sau creanţe care sunt garantate de acestea. A se reţine faptul că, în conformitate cu articolul 11 alineatul (1) literele (a) și (b) din Regulamentul delegat (UE) 2015/61, toate activele din sectorul public eligibile ca active de nivel 2A trebuie să aibă nivelul 1 sau 2 de calitate a creditului.</w:t>
                  </w:r>
                </w:p>
              </w:tc>
            </w:tr>
          </w:tbl>
          <w:p w14:paraId="50D74195"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63B65EB1" w14:textId="77777777" w:rsidTr="00B47C2D">
              <w:tc>
                <w:tcPr>
                  <w:tcW w:w="860" w:type="dxa"/>
                </w:tcPr>
                <w:p w14:paraId="4AFD945B" w14:textId="28E832C5"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500</w:t>
                  </w:r>
                </w:p>
              </w:tc>
              <w:tc>
                <w:tcPr>
                  <w:tcW w:w="3539" w:type="dxa"/>
                </w:tcPr>
                <w:p w14:paraId="50D46EBD" w14:textId="29811DA6" w:rsidR="008E3BA7" w:rsidRPr="00BF7956" w:rsidRDefault="008E3BA7" w:rsidP="008E3BA7">
                  <w:pPr>
                    <w:framePr w:hSpace="180" w:wrap="around" w:vAnchor="text" w:hAnchor="margin" w:y="137"/>
                    <w:spacing w:before="60" w:after="60"/>
                    <w:rPr>
                      <w:color w:val="333333"/>
                      <w:sz w:val="20"/>
                      <w:szCs w:val="20"/>
                      <w:lang w:val="ro-MD" w:eastAsia="ro-MD"/>
                    </w:rPr>
                  </w:pPr>
                  <w:r w:rsidRPr="00101940">
                    <w:rPr>
                      <w:b/>
                      <w:bCs/>
                      <w:color w:val="000000"/>
                      <w:sz w:val="20"/>
                      <w:szCs w:val="20"/>
                      <w:lang w:val="en-US"/>
                    </w:rPr>
                    <w:t>2.1.2.3</w:t>
                  </w:r>
                  <w:r w:rsidRPr="00BF7956">
                    <w:rPr>
                      <w:color w:val="000000"/>
                      <w:sz w:val="20"/>
                      <w:szCs w:val="20"/>
                      <w:lang w:val="en-US"/>
                    </w:rPr>
                    <w:t xml:space="preserve"> </w:t>
                  </w:r>
                  <w:r w:rsidRPr="00BF7956">
                    <w:rPr>
                      <w:b/>
                      <w:bCs/>
                      <w:color w:val="000000"/>
                      <w:sz w:val="20"/>
                      <w:szCs w:val="20"/>
                      <w:lang w:val="en-US"/>
                    </w:rPr>
                    <w:t xml:space="preserve">Active de nivel 2A aferente sectorului public (CQS 1, CQS 2) </w:t>
                  </w:r>
                  <w:r w:rsidRPr="00BF7956">
                    <w:rPr>
                      <w:color w:val="333333"/>
                      <w:sz w:val="20"/>
                      <w:szCs w:val="20"/>
                      <w:lang w:val="ro-MD" w:eastAsia="ro-MD"/>
                    </w:rPr>
                    <w:t xml:space="preserve"> </w:t>
                  </w:r>
                </w:p>
                <w:p w14:paraId="7F77002E" w14:textId="138D62D7" w:rsidR="005B4BE1" w:rsidRPr="00BF7956" w:rsidRDefault="005B4BE1" w:rsidP="005B4BE1">
                  <w:pPr>
                    <w:framePr w:hSpace="180" w:wrap="around" w:vAnchor="text" w:hAnchor="margin" w:y="137"/>
                    <w:spacing w:before="60" w:after="60"/>
                    <w:rPr>
                      <w:color w:val="333333"/>
                      <w:sz w:val="20"/>
                      <w:szCs w:val="20"/>
                      <w:lang w:val="ro-MD" w:eastAsia="ro-MD"/>
                    </w:rPr>
                  </w:pPr>
                  <w:r w:rsidRPr="00BF7956">
                    <w:rPr>
                      <w:color w:val="333333"/>
                      <w:sz w:val="20"/>
                      <w:szCs w:val="20"/>
                      <w:lang w:val="ro-MD" w:eastAsia="ro-MD"/>
                    </w:rPr>
                    <w:t xml:space="preserve">Cuantumul intrărilor de numerar raportate la punctul 2.1.2 garantate cu active care reprezintă creanțe </w:t>
                  </w:r>
                  <w:r w:rsidR="00817FE6" w:rsidRPr="00817FE6">
                    <w:rPr>
                      <w:color w:val="000000"/>
                      <w:sz w:val="20"/>
                      <w:szCs w:val="20"/>
                      <w:lang w:val="en-US"/>
                    </w:rPr>
                    <w:t xml:space="preserve"> față de </w:t>
                  </w:r>
                  <w:r w:rsidRPr="00BF7956">
                    <w:rPr>
                      <w:color w:val="333333"/>
                      <w:sz w:val="20"/>
                      <w:szCs w:val="20"/>
                      <w:lang w:val="ro-MD" w:eastAsia="ro-MD"/>
                    </w:rPr>
                    <w:t xml:space="preserve"> administrațiil</w:t>
                  </w:r>
                  <w:r w:rsidR="00817FE6">
                    <w:rPr>
                      <w:color w:val="333333"/>
                      <w:sz w:val="20"/>
                      <w:szCs w:val="20"/>
                      <w:lang w:val="ro-MD" w:eastAsia="ro-MD"/>
                    </w:rPr>
                    <w:t>e</w:t>
                  </w:r>
                  <w:r w:rsidRPr="00BF7956">
                    <w:rPr>
                      <w:color w:val="333333"/>
                      <w:sz w:val="20"/>
                      <w:szCs w:val="20"/>
                      <w:lang w:val="ro-MD" w:eastAsia="ro-MD"/>
                    </w:rPr>
                    <w:t xml:space="preserve"> centrale, băncil</w:t>
                  </w:r>
                  <w:r w:rsidR="00817FE6">
                    <w:rPr>
                      <w:color w:val="333333"/>
                      <w:sz w:val="20"/>
                      <w:szCs w:val="20"/>
                      <w:lang w:val="ro-MD" w:eastAsia="ro-MD"/>
                    </w:rPr>
                    <w:t>e</w:t>
                  </w:r>
                  <w:r w:rsidRPr="00BF7956">
                    <w:rPr>
                      <w:color w:val="333333"/>
                      <w:sz w:val="20"/>
                      <w:szCs w:val="20"/>
                      <w:lang w:val="ro-MD" w:eastAsia="ro-MD"/>
                    </w:rPr>
                    <w:t xml:space="preserve"> centrale, autoritățil</w:t>
                  </w:r>
                  <w:r w:rsidR="00817FE6">
                    <w:rPr>
                      <w:color w:val="333333"/>
                      <w:sz w:val="20"/>
                      <w:szCs w:val="20"/>
                      <w:lang w:val="ro-MD" w:eastAsia="ro-MD"/>
                    </w:rPr>
                    <w:t>e</w:t>
                  </w:r>
                  <w:r w:rsidRPr="00BF7956">
                    <w:rPr>
                      <w:color w:val="333333"/>
                      <w:sz w:val="20"/>
                      <w:szCs w:val="20"/>
                      <w:lang w:val="ro-MD" w:eastAsia="ro-MD"/>
                    </w:rPr>
                    <w:t xml:space="preserve"> regionale, autoritățil</w:t>
                  </w:r>
                  <w:r w:rsidR="00817FE6">
                    <w:rPr>
                      <w:color w:val="333333"/>
                      <w:sz w:val="20"/>
                      <w:szCs w:val="20"/>
                      <w:lang w:val="ro-MD" w:eastAsia="ro-MD"/>
                    </w:rPr>
                    <w:t xml:space="preserve">e </w:t>
                  </w:r>
                  <w:r w:rsidRPr="00BF7956">
                    <w:rPr>
                      <w:color w:val="333333"/>
                      <w:sz w:val="20"/>
                      <w:szCs w:val="20"/>
                      <w:lang w:val="ro-MD" w:eastAsia="ro-MD"/>
                    </w:rPr>
                    <w:t>locale sau entitățil</w:t>
                  </w:r>
                  <w:r w:rsidR="00817FE6">
                    <w:rPr>
                      <w:color w:val="333333"/>
                      <w:sz w:val="20"/>
                      <w:szCs w:val="20"/>
                      <w:lang w:val="ro-MD" w:eastAsia="ro-MD"/>
                    </w:rPr>
                    <w:t>e</w:t>
                  </w:r>
                  <w:r w:rsidRPr="00BF7956">
                    <w:rPr>
                      <w:color w:val="333333"/>
                      <w:sz w:val="20"/>
                      <w:szCs w:val="20"/>
                      <w:lang w:val="ro-MD" w:eastAsia="ro-MD"/>
                    </w:rPr>
                    <w:t xml:space="preserve"> din sectorul public sau creanțe garantate de acestea.</w:t>
                  </w:r>
                </w:p>
                <w:p w14:paraId="7D313475" w14:textId="1562B688" w:rsidR="008E3BA7" w:rsidRPr="00BF7956" w:rsidRDefault="005B4BE1" w:rsidP="005B4BE1">
                  <w:pPr>
                    <w:pStyle w:val="CM4"/>
                    <w:framePr w:hSpace="180" w:wrap="around" w:vAnchor="text" w:hAnchor="margin" w:y="137"/>
                    <w:spacing w:before="60" w:after="60"/>
                    <w:rPr>
                      <w:color w:val="000000"/>
                      <w:sz w:val="20"/>
                      <w:szCs w:val="20"/>
                    </w:rPr>
                  </w:pPr>
                  <w:r w:rsidRPr="00BF7956">
                    <w:rPr>
                      <w:color w:val="333333"/>
                      <w:sz w:val="20"/>
                      <w:szCs w:val="20"/>
                      <w:lang w:eastAsia="ro-MD"/>
                    </w:rPr>
                    <w:t>În conformitate cu punctul 33</w:t>
                  </w:r>
                  <w:r w:rsidR="00817FE6">
                    <w:rPr>
                      <w:color w:val="333333"/>
                      <w:sz w:val="20"/>
                      <w:szCs w:val="20"/>
                      <w:lang w:eastAsia="ro-MD"/>
                    </w:rPr>
                    <w:t xml:space="preserve"> </w:t>
                  </w:r>
                  <w:r w:rsidRPr="00BF7956">
                    <w:rPr>
                      <w:color w:val="333333"/>
                      <w:sz w:val="20"/>
                      <w:szCs w:val="20"/>
                      <w:lang w:eastAsia="ro-MD"/>
                    </w:rPr>
                    <w:t>subpunct</w:t>
                  </w:r>
                  <w:r w:rsidR="00817FE6">
                    <w:rPr>
                      <w:color w:val="333333"/>
                      <w:sz w:val="20"/>
                      <w:szCs w:val="20"/>
                      <w:lang w:eastAsia="ro-MD"/>
                    </w:rPr>
                    <w:t xml:space="preserve">ele </w:t>
                  </w:r>
                  <w:r w:rsidRPr="00BF7956">
                    <w:rPr>
                      <w:color w:val="333333"/>
                      <w:sz w:val="20"/>
                      <w:szCs w:val="20"/>
                      <w:lang w:eastAsia="ro-MD"/>
                    </w:rPr>
                    <w:t>1) și 2) din Regulamentul nr.44/2020 privind cerinţele de acoperire a necesarului de lichiditate pentru bănci, toate activele din sectorul public eligibile ca active de nivel 2A trebuie să aibă nivelul 1 sau 2 de calitate a creditului.</w:t>
                  </w:r>
                </w:p>
              </w:tc>
            </w:tr>
          </w:tbl>
          <w:p w14:paraId="6CFBDFDF" w14:textId="77777777" w:rsidR="008E3BA7" w:rsidRPr="00BF7956" w:rsidRDefault="008E3BA7" w:rsidP="008E3BA7">
            <w:pPr>
              <w:autoSpaceDE w:val="0"/>
              <w:autoSpaceDN w:val="0"/>
              <w:adjustRightInd w:val="0"/>
              <w:spacing w:before="60" w:after="60"/>
              <w:rPr>
                <w:color w:val="000000"/>
                <w:sz w:val="20"/>
                <w:szCs w:val="20"/>
                <w:lang w:val="it-IT"/>
              </w:rPr>
            </w:pPr>
          </w:p>
        </w:tc>
        <w:tc>
          <w:tcPr>
            <w:tcW w:w="1418" w:type="dxa"/>
          </w:tcPr>
          <w:p w14:paraId="15C859B0" w14:textId="1BE9530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225692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0403AE3" w14:textId="77777777" w:rsidR="008E3BA7" w:rsidRPr="00BF7956" w:rsidRDefault="008E3BA7" w:rsidP="008E3BA7">
            <w:pPr>
              <w:jc w:val="both"/>
              <w:rPr>
                <w:sz w:val="20"/>
                <w:szCs w:val="20"/>
                <w:lang w:val="ro-RO"/>
              </w:rPr>
            </w:pPr>
          </w:p>
        </w:tc>
        <w:tc>
          <w:tcPr>
            <w:tcW w:w="992" w:type="dxa"/>
          </w:tcPr>
          <w:p w14:paraId="2B1FED02" w14:textId="77777777" w:rsidR="008E3BA7" w:rsidRPr="00BF7956" w:rsidRDefault="008E3BA7" w:rsidP="008E3BA7">
            <w:pPr>
              <w:jc w:val="both"/>
              <w:rPr>
                <w:sz w:val="20"/>
                <w:szCs w:val="20"/>
                <w:lang w:val="ro-RO"/>
              </w:rPr>
            </w:pPr>
          </w:p>
        </w:tc>
      </w:tr>
      <w:tr w:rsidR="008E3BA7" w:rsidRPr="00BF7956" w14:paraId="3E3E8E5C"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0ED80C62" w14:textId="77777777" w:rsidTr="003169EA">
              <w:trPr>
                <w:trHeight w:val="167"/>
              </w:trPr>
              <w:tc>
                <w:tcPr>
                  <w:tcW w:w="860" w:type="dxa"/>
                </w:tcPr>
                <w:p w14:paraId="00846321" w14:textId="6441FE37" w:rsidR="008E3BA7" w:rsidRPr="00BF7956" w:rsidRDefault="004E39BC" w:rsidP="008E3BA7">
                  <w:pPr>
                    <w:pStyle w:val="CM4"/>
                    <w:framePr w:hSpace="180" w:wrap="around" w:vAnchor="text" w:hAnchor="margin" w:y="137"/>
                    <w:spacing w:after="60"/>
                    <w:rPr>
                      <w:i/>
                      <w:iCs/>
                      <w:color w:val="000000"/>
                      <w:sz w:val="20"/>
                      <w:szCs w:val="20"/>
                      <w:lang w:val="ro-RO"/>
                    </w:rPr>
                  </w:pPr>
                  <w:r w:rsidRPr="00BF7956">
                    <w:rPr>
                      <w:color w:val="000000"/>
                      <w:sz w:val="20"/>
                      <w:szCs w:val="20"/>
                    </w:rPr>
                    <w:t>0</w:t>
                  </w:r>
                  <w:r w:rsidR="008E3BA7" w:rsidRPr="00BF7956">
                    <w:rPr>
                      <w:color w:val="000000"/>
                      <w:sz w:val="20"/>
                      <w:szCs w:val="20"/>
                    </w:rPr>
                    <w:t>510</w:t>
                  </w:r>
                </w:p>
              </w:tc>
              <w:tc>
                <w:tcPr>
                  <w:tcW w:w="3539" w:type="dxa"/>
                </w:tcPr>
                <w:p w14:paraId="0D218954" w14:textId="5A9E1270" w:rsidR="008E3BA7" w:rsidRPr="00BF7956" w:rsidRDefault="008E3BA7" w:rsidP="004E39BC">
                  <w:pPr>
                    <w:pStyle w:val="CM4"/>
                    <w:framePr w:hSpace="180" w:wrap="around" w:vAnchor="text" w:hAnchor="margin" w:y="137"/>
                    <w:numPr>
                      <w:ilvl w:val="2"/>
                      <w:numId w:val="1"/>
                    </w:numPr>
                    <w:tabs>
                      <w:tab w:val="left" w:pos="586"/>
                    </w:tabs>
                    <w:spacing w:after="60"/>
                    <w:ind w:left="19" w:firstLine="0"/>
                    <w:rPr>
                      <w:b/>
                      <w:bCs/>
                      <w:color w:val="000000"/>
                      <w:sz w:val="20"/>
                      <w:szCs w:val="20"/>
                    </w:rPr>
                  </w:pPr>
                  <w:r w:rsidRPr="00BF7956">
                    <w:rPr>
                      <w:b/>
                      <w:bCs/>
                      <w:color w:val="000000"/>
                      <w:sz w:val="20"/>
                      <w:szCs w:val="20"/>
                    </w:rPr>
                    <w:t xml:space="preserve">Active tranzacţionabile de nivel 2B </w:t>
                  </w:r>
                </w:p>
                <w:p w14:paraId="71DB8DB3" w14:textId="6EE65CEF" w:rsidR="008E3BA7" w:rsidRPr="00BF7956" w:rsidRDefault="004E39BC" w:rsidP="004E39BC">
                  <w:pPr>
                    <w:pStyle w:val="CM4"/>
                    <w:framePr w:hSpace="180" w:wrap="around" w:vAnchor="text" w:hAnchor="margin" w:y="137"/>
                    <w:spacing w:after="60"/>
                    <w:rPr>
                      <w:color w:val="000000"/>
                      <w:sz w:val="20"/>
                      <w:szCs w:val="20"/>
                    </w:rPr>
                  </w:pPr>
                  <w:r w:rsidRPr="00BF7956">
                    <w:rPr>
                      <w:color w:val="000000"/>
                      <w:sz w:val="20"/>
                      <w:szCs w:val="20"/>
                    </w:rPr>
                    <w:t>Cuantumul intrărilor de numerar raportate la punctul 2.1 care sunt garantate cu active tranzacţionabile în conformitate cu articolele 7, 8 și 12 sau 13 din Regulamentul delegat (UE) 2015/61. Acţiunile sau unităţile deţinute în OPC-uri în conformitate cu articolul 15 din Regulamentul delegat (UE) 2015/61 care se califică drept active de nivel 2B se raportează în subcategoriile de mai jos corespunzătoare activelor-suport ale acestora.</w:t>
                  </w:r>
                </w:p>
              </w:tc>
            </w:tr>
          </w:tbl>
          <w:p w14:paraId="6E1FADCC" w14:textId="77777777" w:rsidR="008E3BA7" w:rsidRPr="00BF7956" w:rsidRDefault="008E3BA7" w:rsidP="008E3BA7">
            <w:pPr>
              <w:pStyle w:val="CM4"/>
              <w:spacing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004B4F84" w14:textId="77777777" w:rsidTr="00144513">
              <w:trPr>
                <w:trHeight w:val="167"/>
              </w:trPr>
              <w:tc>
                <w:tcPr>
                  <w:tcW w:w="860" w:type="dxa"/>
                </w:tcPr>
                <w:p w14:paraId="1A489950" w14:textId="5188FB2B" w:rsidR="008E3BA7" w:rsidRPr="00BF7956" w:rsidRDefault="005B4BE1" w:rsidP="008E3BA7">
                  <w:pPr>
                    <w:pStyle w:val="CM4"/>
                    <w:framePr w:hSpace="180" w:wrap="around" w:vAnchor="text" w:hAnchor="margin" w:y="137"/>
                    <w:spacing w:after="60"/>
                    <w:rPr>
                      <w:i/>
                      <w:iCs/>
                      <w:color w:val="000000"/>
                      <w:sz w:val="20"/>
                      <w:szCs w:val="20"/>
                      <w:lang w:val="ro-RO"/>
                    </w:rPr>
                  </w:pPr>
                  <w:r w:rsidRPr="00BF7956">
                    <w:rPr>
                      <w:color w:val="000000"/>
                      <w:sz w:val="20"/>
                      <w:szCs w:val="20"/>
                    </w:rPr>
                    <w:t>0</w:t>
                  </w:r>
                  <w:r w:rsidR="008E3BA7" w:rsidRPr="00BF7956">
                    <w:rPr>
                      <w:color w:val="000000"/>
                      <w:sz w:val="20"/>
                      <w:szCs w:val="20"/>
                    </w:rPr>
                    <w:t>510</w:t>
                  </w:r>
                </w:p>
              </w:tc>
              <w:tc>
                <w:tcPr>
                  <w:tcW w:w="3539" w:type="dxa"/>
                </w:tcPr>
                <w:p w14:paraId="2EEF5E0D" w14:textId="77777777" w:rsidR="008E3BA7" w:rsidRPr="00BF7956" w:rsidRDefault="008E3BA7" w:rsidP="008E3BA7">
                  <w:pPr>
                    <w:pStyle w:val="CM4"/>
                    <w:framePr w:hSpace="180" w:wrap="around" w:vAnchor="text" w:hAnchor="margin" w:y="137"/>
                    <w:spacing w:after="60"/>
                    <w:rPr>
                      <w:b/>
                      <w:bCs/>
                      <w:color w:val="000000"/>
                      <w:sz w:val="20"/>
                      <w:szCs w:val="20"/>
                    </w:rPr>
                  </w:pPr>
                  <w:r w:rsidRPr="00101940">
                    <w:rPr>
                      <w:b/>
                      <w:bCs/>
                      <w:color w:val="000000"/>
                      <w:sz w:val="20"/>
                      <w:szCs w:val="20"/>
                    </w:rPr>
                    <w:t>2.1.3</w:t>
                  </w:r>
                  <w:r w:rsidRPr="00BF7956">
                    <w:rPr>
                      <w:color w:val="000000"/>
                      <w:sz w:val="20"/>
                      <w:szCs w:val="20"/>
                    </w:rPr>
                    <w:t xml:space="preserve"> </w:t>
                  </w:r>
                  <w:r w:rsidRPr="00BF7956">
                    <w:rPr>
                      <w:b/>
                      <w:bCs/>
                      <w:color w:val="000000"/>
                      <w:sz w:val="20"/>
                      <w:szCs w:val="20"/>
                    </w:rPr>
                    <w:t xml:space="preserve">Active tranzacţionabile de nivel 2B </w:t>
                  </w:r>
                </w:p>
                <w:p w14:paraId="1D1FEACA" w14:textId="32157B2B" w:rsidR="005B4BE1" w:rsidRPr="00BF7956" w:rsidRDefault="005B4BE1" w:rsidP="005B4BE1">
                  <w:pPr>
                    <w:framePr w:hSpace="180" w:wrap="around" w:vAnchor="text" w:hAnchor="margin" w:y="137"/>
                    <w:spacing w:after="60"/>
                    <w:jc w:val="both"/>
                    <w:rPr>
                      <w:color w:val="000000"/>
                      <w:sz w:val="20"/>
                      <w:szCs w:val="20"/>
                      <w:lang w:val="en-US"/>
                    </w:rPr>
                  </w:pPr>
                  <w:r w:rsidRPr="00BF7956">
                    <w:rPr>
                      <w:color w:val="000000"/>
                      <w:sz w:val="20"/>
                      <w:szCs w:val="20"/>
                      <w:lang w:val="en-US"/>
                    </w:rPr>
                    <w:t xml:space="preserve">Cuantumul intrărilor de numerar raportate la punctul 2.1 garantate cu active tranzacționabile în conformitate cu punctele 21-29, 35 și 36 din Regulamentul nr.44/2020 privind cerinţele de acoperire a necesarului de lichiditate pentru bănci. </w:t>
                  </w:r>
                </w:p>
                <w:p w14:paraId="6E2E4649" w14:textId="6C7F0EA3" w:rsidR="008E3BA7" w:rsidRPr="00BF7956" w:rsidRDefault="005B4BE1" w:rsidP="005B4BE1">
                  <w:pPr>
                    <w:framePr w:hSpace="180" w:wrap="around" w:vAnchor="text" w:hAnchor="margin" w:y="137"/>
                    <w:spacing w:after="60"/>
                    <w:jc w:val="both"/>
                    <w:rPr>
                      <w:color w:val="000000"/>
                      <w:sz w:val="20"/>
                      <w:szCs w:val="20"/>
                      <w:lang w:val="en-US"/>
                    </w:rPr>
                  </w:pPr>
                  <w:r w:rsidRPr="00BF7956">
                    <w:rPr>
                      <w:color w:val="000000"/>
                      <w:sz w:val="20"/>
                      <w:szCs w:val="20"/>
                      <w:lang w:val="en-US"/>
                    </w:rPr>
                    <w:t>Acțiunile sau unitățile deținute în OPC-uri în conformitate cu punctele 37-41 din Regulamentul nr.44/2020 privind cerinţele de acoperire a necesarului de lichiditate pentru bănci care se califică drept active de nivel 2B se raportează în subcategoriile de mai jos corespunzătoare activelor-suport ale acestora.</w:t>
                  </w:r>
                </w:p>
              </w:tc>
            </w:tr>
          </w:tbl>
          <w:p w14:paraId="505B65C4" w14:textId="77777777" w:rsidR="008E3BA7" w:rsidRPr="00BF7956" w:rsidRDefault="008E3BA7" w:rsidP="008E3BA7">
            <w:pPr>
              <w:autoSpaceDE w:val="0"/>
              <w:autoSpaceDN w:val="0"/>
              <w:adjustRightInd w:val="0"/>
              <w:spacing w:after="60"/>
              <w:jc w:val="center"/>
              <w:rPr>
                <w:color w:val="000000"/>
                <w:sz w:val="20"/>
                <w:szCs w:val="20"/>
                <w:lang w:val="ro-RO"/>
              </w:rPr>
            </w:pPr>
          </w:p>
        </w:tc>
        <w:tc>
          <w:tcPr>
            <w:tcW w:w="1418" w:type="dxa"/>
          </w:tcPr>
          <w:p w14:paraId="5D5BF761" w14:textId="61221B3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C2E22A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0F40F0E" w14:textId="77777777" w:rsidR="008E3BA7" w:rsidRPr="00BF7956" w:rsidRDefault="008E3BA7" w:rsidP="008E3BA7">
            <w:pPr>
              <w:jc w:val="both"/>
              <w:rPr>
                <w:sz w:val="20"/>
                <w:szCs w:val="20"/>
                <w:lang w:val="ro-RO"/>
              </w:rPr>
            </w:pPr>
          </w:p>
        </w:tc>
        <w:tc>
          <w:tcPr>
            <w:tcW w:w="992" w:type="dxa"/>
          </w:tcPr>
          <w:p w14:paraId="2DF229E9" w14:textId="77777777" w:rsidR="008E3BA7" w:rsidRPr="00BF7956" w:rsidRDefault="008E3BA7" w:rsidP="008E3BA7">
            <w:pPr>
              <w:jc w:val="both"/>
              <w:rPr>
                <w:sz w:val="20"/>
                <w:szCs w:val="20"/>
                <w:lang w:val="ro-RO"/>
              </w:rPr>
            </w:pPr>
          </w:p>
        </w:tc>
      </w:tr>
      <w:tr w:rsidR="008E3BA7" w:rsidRPr="002C43F1" w14:paraId="747406A5" w14:textId="77777777" w:rsidTr="00C25F84">
        <w:tc>
          <w:tcPr>
            <w:tcW w:w="4576" w:type="dxa"/>
          </w:tcPr>
          <w:tbl>
            <w:tblPr>
              <w:tblStyle w:val="TableGrid"/>
              <w:tblW w:w="4396" w:type="dxa"/>
              <w:tblLayout w:type="fixed"/>
              <w:tblLook w:val="04A0" w:firstRow="1" w:lastRow="0" w:firstColumn="1" w:lastColumn="0" w:noHBand="0" w:noVBand="1"/>
            </w:tblPr>
            <w:tblGrid>
              <w:gridCol w:w="857"/>
              <w:gridCol w:w="3539"/>
            </w:tblGrid>
            <w:tr w:rsidR="008E3BA7" w:rsidRPr="002C43F1" w14:paraId="0DCF4E37" w14:textId="77777777" w:rsidTr="003169EA">
              <w:tc>
                <w:tcPr>
                  <w:tcW w:w="857" w:type="dxa"/>
                </w:tcPr>
                <w:p w14:paraId="115FD077" w14:textId="6C3ADCBA" w:rsidR="008E3BA7" w:rsidRPr="00BF7956" w:rsidRDefault="004E39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520</w:t>
                  </w:r>
                </w:p>
              </w:tc>
              <w:tc>
                <w:tcPr>
                  <w:tcW w:w="3539" w:type="dxa"/>
                </w:tcPr>
                <w:p w14:paraId="23CD15F0" w14:textId="2E7BF23A"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2.1.3.1</w:t>
                  </w:r>
                  <w:r w:rsidRPr="00BF7956">
                    <w:rPr>
                      <w:color w:val="000000"/>
                      <w:sz w:val="20"/>
                      <w:szCs w:val="20"/>
                    </w:rPr>
                    <w:t xml:space="preserve"> </w:t>
                  </w:r>
                  <w:r w:rsidRPr="00BF7956">
                    <w:rPr>
                      <w:b/>
                      <w:bCs/>
                      <w:color w:val="000000"/>
                      <w:sz w:val="20"/>
                      <w:szCs w:val="20"/>
                    </w:rPr>
                    <w:t xml:space="preserve">ABS de nivel 2B (CQS 1) </w:t>
                  </w:r>
                  <w:r w:rsidR="004E39BC" w:rsidRPr="00BF7956">
                    <w:rPr>
                      <w:color w:val="000000"/>
                      <w:sz w:val="20"/>
                      <w:szCs w:val="20"/>
                    </w:rPr>
                    <w:t>Cuantumul intrărilor de numerar raportate la punctul 2.1.3 care sunt garantate cu titluri garantate cu active, inclusiv cu titluri garantate cu ipoteci asupra proprietăţilor imobiliare locative (RMBS).</w:t>
                  </w:r>
                </w:p>
              </w:tc>
            </w:tr>
          </w:tbl>
          <w:p w14:paraId="0DBAB239"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6" w:type="dxa"/>
              <w:tblLayout w:type="fixed"/>
              <w:tblLook w:val="04A0" w:firstRow="1" w:lastRow="0" w:firstColumn="1" w:lastColumn="0" w:noHBand="0" w:noVBand="1"/>
            </w:tblPr>
            <w:tblGrid>
              <w:gridCol w:w="857"/>
              <w:gridCol w:w="3539"/>
            </w:tblGrid>
            <w:tr w:rsidR="008E3BA7" w:rsidRPr="002C43F1" w14:paraId="5B2E9A32" w14:textId="77777777" w:rsidTr="00144513">
              <w:tc>
                <w:tcPr>
                  <w:tcW w:w="857" w:type="dxa"/>
                </w:tcPr>
                <w:p w14:paraId="209CB78E" w14:textId="61617973"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520</w:t>
                  </w:r>
                </w:p>
              </w:tc>
              <w:tc>
                <w:tcPr>
                  <w:tcW w:w="3539" w:type="dxa"/>
                </w:tcPr>
                <w:p w14:paraId="373A85DF" w14:textId="737D22E4" w:rsidR="008E3BA7" w:rsidRPr="00101940"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 xml:space="preserve">2.1.3.1 ABS de nivel 2B (CQS 1) </w:t>
                  </w:r>
                </w:p>
              </w:tc>
            </w:tr>
          </w:tbl>
          <w:p w14:paraId="4E53EDC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4D6BB0D" w14:textId="22508C32" w:rsidR="008E3BA7" w:rsidRPr="00BF7956" w:rsidRDefault="008E3BA7" w:rsidP="008E3BA7">
            <w:pPr>
              <w:rPr>
                <w:b/>
                <w:strike/>
                <w:sz w:val="20"/>
                <w:szCs w:val="20"/>
                <w:highlight w:val="green"/>
                <w:lang w:val="ro-RO"/>
              </w:rPr>
            </w:pPr>
            <w:r w:rsidRPr="00BF7956">
              <w:rPr>
                <w:bCs/>
                <w:sz w:val="20"/>
                <w:szCs w:val="20"/>
                <w:lang w:val="ro-RO"/>
              </w:rPr>
              <w:t>Necompatibil</w:t>
            </w:r>
          </w:p>
        </w:tc>
        <w:tc>
          <w:tcPr>
            <w:tcW w:w="2223" w:type="dxa"/>
          </w:tcPr>
          <w:p w14:paraId="3CD29294" w14:textId="2AFE6261" w:rsidR="008E3BA7" w:rsidRPr="00BF7956" w:rsidRDefault="008E3BA7" w:rsidP="008E3BA7">
            <w:pPr>
              <w:rPr>
                <w:sz w:val="20"/>
                <w:szCs w:val="20"/>
                <w:lang w:val="ro-RO"/>
              </w:rPr>
            </w:pPr>
            <w:r w:rsidRPr="00BF7956">
              <w:rPr>
                <w:sz w:val="20"/>
                <w:szCs w:val="20"/>
                <w:lang w:val="ro-RO"/>
              </w:rPr>
              <w:t>Prevederile aferente titluri garantate cu active – ABS nu au fost transpuse deoarece titlurile garantate cu active – ABS,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754DFBB9" w14:textId="77777777" w:rsidR="008E3BA7" w:rsidRPr="00BF7956" w:rsidRDefault="008E3BA7" w:rsidP="008E3BA7">
            <w:pPr>
              <w:jc w:val="both"/>
              <w:rPr>
                <w:sz w:val="20"/>
                <w:szCs w:val="20"/>
                <w:lang w:val="ro-RO"/>
              </w:rPr>
            </w:pPr>
          </w:p>
        </w:tc>
        <w:tc>
          <w:tcPr>
            <w:tcW w:w="992" w:type="dxa"/>
          </w:tcPr>
          <w:p w14:paraId="4BBEDEBE" w14:textId="77777777" w:rsidR="008E3BA7" w:rsidRPr="00BF7956" w:rsidRDefault="008E3BA7" w:rsidP="008E3BA7">
            <w:pPr>
              <w:jc w:val="both"/>
              <w:rPr>
                <w:sz w:val="20"/>
                <w:szCs w:val="20"/>
                <w:lang w:val="ro-RO"/>
              </w:rPr>
            </w:pPr>
          </w:p>
        </w:tc>
      </w:tr>
      <w:tr w:rsidR="008E3BA7" w:rsidRPr="002C43F1" w14:paraId="2FDDAB6C"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53972CD0" w14:textId="77777777" w:rsidTr="00DF6218">
              <w:tc>
                <w:tcPr>
                  <w:tcW w:w="860" w:type="dxa"/>
                </w:tcPr>
                <w:p w14:paraId="64F84608" w14:textId="6408554A" w:rsidR="008E3BA7" w:rsidRPr="00BF7956" w:rsidRDefault="004E39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530</w:t>
                  </w:r>
                </w:p>
              </w:tc>
              <w:tc>
                <w:tcPr>
                  <w:tcW w:w="3539" w:type="dxa"/>
                </w:tcPr>
                <w:p w14:paraId="44906A4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2.1.3.2</w:t>
                  </w:r>
                  <w:r w:rsidRPr="00BF7956">
                    <w:rPr>
                      <w:color w:val="000000"/>
                      <w:sz w:val="20"/>
                      <w:szCs w:val="20"/>
                    </w:rPr>
                    <w:t xml:space="preserve"> </w:t>
                  </w:r>
                  <w:r w:rsidRPr="00BF7956">
                    <w:rPr>
                      <w:b/>
                      <w:bCs/>
                      <w:color w:val="000000"/>
                      <w:sz w:val="20"/>
                      <w:szCs w:val="20"/>
                    </w:rPr>
                    <w:t xml:space="preserve">Obligaţiuni garantate de nivel 2B (CQS 1-6) </w:t>
                  </w:r>
                </w:p>
                <w:p w14:paraId="23A387A3" w14:textId="73601BB6" w:rsidR="008E3BA7" w:rsidRPr="00BF7956" w:rsidRDefault="004E39BC"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2.1.3 care sunt garantate cu obligaţiuni garantate.</w:t>
                  </w:r>
                </w:p>
              </w:tc>
            </w:tr>
          </w:tbl>
          <w:p w14:paraId="4FBC4B76"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3553D646" w14:textId="77777777" w:rsidTr="00144513">
              <w:tc>
                <w:tcPr>
                  <w:tcW w:w="860" w:type="dxa"/>
                </w:tcPr>
                <w:p w14:paraId="46DC5F96" w14:textId="1CBF2220"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530</w:t>
                  </w:r>
                </w:p>
              </w:tc>
              <w:tc>
                <w:tcPr>
                  <w:tcW w:w="3539" w:type="dxa"/>
                </w:tcPr>
                <w:p w14:paraId="6CEF59C5" w14:textId="66D88DA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2.1.3.2</w:t>
                  </w:r>
                  <w:r w:rsidRPr="00BF7956">
                    <w:rPr>
                      <w:color w:val="000000"/>
                      <w:sz w:val="20"/>
                      <w:szCs w:val="20"/>
                    </w:rPr>
                    <w:t xml:space="preserve"> </w:t>
                  </w:r>
                  <w:r w:rsidRPr="00BF7956">
                    <w:rPr>
                      <w:b/>
                      <w:bCs/>
                      <w:color w:val="000000"/>
                      <w:sz w:val="20"/>
                      <w:szCs w:val="20"/>
                    </w:rPr>
                    <w:t xml:space="preserve">Obligaţiuni garantate de nivel 2B (CQS 1-6) </w:t>
                  </w:r>
                </w:p>
              </w:tc>
            </w:tr>
          </w:tbl>
          <w:p w14:paraId="05A7D93E"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345DE2B" w14:textId="6CBD4A36"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7A68C566" w14:textId="12C9179F"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2069D996" w14:textId="77777777" w:rsidR="008E3BA7" w:rsidRPr="00BF7956" w:rsidRDefault="008E3BA7" w:rsidP="008E3BA7">
            <w:pPr>
              <w:jc w:val="both"/>
              <w:rPr>
                <w:sz w:val="20"/>
                <w:szCs w:val="20"/>
                <w:lang w:val="ro-RO"/>
              </w:rPr>
            </w:pPr>
          </w:p>
        </w:tc>
        <w:tc>
          <w:tcPr>
            <w:tcW w:w="992" w:type="dxa"/>
          </w:tcPr>
          <w:p w14:paraId="17CD08F7" w14:textId="77777777" w:rsidR="008E3BA7" w:rsidRPr="00BF7956" w:rsidRDefault="008E3BA7" w:rsidP="008E3BA7">
            <w:pPr>
              <w:jc w:val="both"/>
              <w:rPr>
                <w:sz w:val="20"/>
                <w:szCs w:val="20"/>
                <w:lang w:val="ro-RO"/>
              </w:rPr>
            </w:pPr>
          </w:p>
        </w:tc>
      </w:tr>
      <w:tr w:rsidR="008E3BA7" w:rsidRPr="00BF7956" w14:paraId="6E4CDC2D"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306701A1" w14:textId="77777777" w:rsidTr="00607F9A">
              <w:tc>
                <w:tcPr>
                  <w:tcW w:w="860" w:type="dxa"/>
                </w:tcPr>
                <w:p w14:paraId="24CF50D2" w14:textId="49140104" w:rsidR="008E3BA7" w:rsidRPr="00BF7956" w:rsidRDefault="004E39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540</w:t>
                  </w:r>
                </w:p>
              </w:tc>
              <w:tc>
                <w:tcPr>
                  <w:tcW w:w="3539" w:type="dxa"/>
                </w:tcPr>
                <w:p w14:paraId="4955167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2.1.3.3</w:t>
                  </w:r>
                  <w:r w:rsidRPr="00BF7956">
                    <w:rPr>
                      <w:color w:val="000000"/>
                      <w:sz w:val="20"/>
                      <w:szCs w:val="20"/>
                    </w:rPr>
                    <w:t xml:space="preserve"> </w:t>
                  </w:r>
                  <w:r w:rsidRPr="00BF7956">
                    <w:rPr>
                      <w:b/>
                      <w:bCs/>
                      <w:color w:val="000000"/>
                      <w:sz w:val="20"/>
                      <w:szCs w:val="20"/>
                    </w:rPr>
                    <w:t xml:space="preserve">Obligaţiuni corporative de nivel 2B (CQS 1-3) </w:t>
                  </w:r>
                </w:p>
                <w:p w14:paraId="405C4F9D" w14:textId="5A7ACCA9" w:rsidR="008E3BA7" w:rsidRPr="00BF7956" w:rsidRDefault="004E39BC"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2.1.3 care sunt garantate cu titluri de datorie emise de societăţile comerciale.</w:t>
                  </w:r>
                </w:p>
              </w:tc>
            </w:tr>
          </w:tbl>
          <w:p w14:paraId="1A449D5B"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0201FEDB" w14:textId="77777777" w:rsidTr="00144513">
              <w:tc>
                <w:tcPr>
                  <w:tcW w:w="860" w:type="dxa"/>
                </w:tcPr>
                <w:p w14:paraId="702B8215" w14:textId="2F4E1899"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0540</w:t>
                  </w:r>
                </w:p>
              </w:tc>
              <w:tc>
                <w:tcPr>
                  <w:tcW w:w="3539" w:type="dxa"/>
                </w:tcPr>
                <w:p w14:paraId="74C54F6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2.1.3.3</w:t>
                  </w:r>
                  <w:r w:rsidRPr="00BF7956">
                    <w:rPr>
                      <w:color w:val="000000"/>
                      <w:sz w:val="20"/>
                      <w:szCs w:val="20"/>
                    </w:rPr>
                    <w:t xml:space="preserve"> </w:t>
                  </w:r>
                  <w:r w:rsidRPr="00BF7956">
                    <w:rPr>
                      <w:b/>
                      <w:bCs/>
                      <w:color w:val="000000"/>
                      <w:sz w:val="20"/>
                      <w:szCs w:val="20"/>
                    </w:rPr>
                    <w:t xml:space="preserve">Obligaţiuni corporative de nivel 2B (CQS 1-3) </w:t>
                  </w:r>
                </w:p>
                <w:p w14:paraId="502A4E13" w14:textId="7D22E8C6"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2.1.3 garantate cu titluri de creanță emise de societățile comerciale.</w:t>
                  </w:r>
                </w:p>
              </w:tc>
            </w:tr>
          </w:tbl>
          <w:p w14:paraId="5555774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ACE1372" w14:textId="75A75CBC"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ECCD3C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2E5718D" w14:textId="77777777" w:rsidR="008E3BA7" w:rsidRPr="00BF7956" w:rsidRDefault="008E3BA7" w:rsidP="008E3BA7">
            <w:pPr>
              <w:jc w:val="both"/>
              <w:rPr>
                <w:sz w:val="20"/>
                <w:szCs w:val="20"/>
                <w:lang w:val="ro-RO"/>
              </w:rPr>
            </w:pPr>
          </w:p>
        </w:tc>
        <w:tc>
          <w:tcPr>
            <w:tcW w:w="992" w:type="dxa"/>
          </w:tcPr>
          <w:p w14:paraId="67421C84" w14:textId="77777777" w:rsidR="008E3BA7" w:rsidRPr="00BF7956" w:rsidRDefault="008E3BA7" w:rsidP="008E3BA7">
            <w:pPr>
              <w:jc w:val="both"/>
              <w:rPr>
                <w:sz w:val="20"/>
                <w:szCs w:val="20"/>
                <w:lang w:val="ro-RO"/>
              </w:rPr>
            </w:pPr>
          </w:p>
        </w:tc>
      </w:tr>
      <w:tr w:rsidR="008E3BA7" w:rsidRPr="00BF7956" w14:paraId="776991B4"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171E20BC" w14:textId="77777777" w:rsidTr="00607F9A">
              <w:tc>
                <w:tcPr>
                  <w:tcW w:w="860" w:type="dxa"/>
                </w:tcPr>
                <w:p w14:paraId="7AB6597F" w14:textId="340A4736" w:rsidR="008E3BA7" w:rsidRPr="00BF7956" w:rsidRDefault="004E39B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550</w:t>
                  </w:r>
                </w:p>
              </w:tc>
              <w:tc>
                <w:tcPr>
                  <w:tcW w:w="3539" w:type="dxa"/>
                </w:tcPr>
                <w:p w14:paraId="6479F8F1"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2.1.3.4</w:t>
                  </w:r>
                  <w:r w:rsidRPr="00BF7956">
                    <w:rPr>
                      <w:color w:val="000000"/>
                      <w:sz w:val="20"/>
                      <w:szCs w:val="20"/>
                    </w:rPr>
                    <w:t xml:space="preserve"> </w:t>
                  </w:r>
                  <w:r w:rsidRPr="00BF7956">
                    <w:rPr>
                      <w:b/>
                      <w:bCs/>
                      <w:color w:val="000000"/>
                      <w:sz w:val="20"/>
                      <w:szCs w:val="20"/>
                    </w:rPr>
                    <w:t xml:space="preserve">Acţiuni de nivel 2B </w:t>
                  </w:r>
                </w:p>
                <w:p w14:paraId="40945F70" w14:textId="0FB4B2CF" w:rsidR="008E3BA7" w:rsidRPr="00BF7956" w:rsidRDefault="004E39BC"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2.1.3 care sunt garantate cu acţiuni.</w:t>
                  </w:r>
                </w:p>
              </w:tc>
            </w:tr>
          </w:tbl>
          <w:p w14:paraId="51FD536A"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7D34F57E" w14:textId="77777777" w:rsidTr="00144513">
              <w:tc>
                <w:tcPr>
                  <w:tcW w:w="860" w:type="dxa"/>
                </w:tcPr>
                <w:p w14:paraId="7C712E71" w14:textId="519A385D"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550</w:t>
                  </w:r>
                </w:p>
              </w:tc>
              <w:tc>
                <w:tcPr>
                  <w:tcW w:w="3539" w:type="dxa"/>
                </w:tcPr>
                <w:p w14:paraId="3A202D5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2.1.3.4</w:t>
                  </w:r>
                  <w:r w:rsidRPr="00BF7956">
                    <w:rPr>
                      <w:color w:val="000000"/>
                      <w:sz w:val="20"/>
                      <w:szCs w:val="20"/>
                    </w:rPr>
                    <w:t xml:space="preserve"> </w:t>
                  </w:r>
                  <w:r w:rsidRPr="00BF7956">
                    <w:rPr>
                      <w:b/>
                      <w:bCs/>
                      <w:color w:val="000000"/>
                      <w:sz w:val="20"/>
                      <w:szCs w:val="20"/>
                    </w:rPr>
                    <w:t xml:space="preserve">Acţiuni de nivel 2B </w:t>
                  </w:r>
                </w:p>
                <w:p w14:paraId="1D0FAB8D" w14:textId="3F48F10F"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2.1.3 garantate cu acțiuni.</w:t>
                  </w:r>
                </w:p>
              </w:tc>
            </w:tr>
          </w:tbl>
          <w:p w14:paraId="7E75E810"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C54B6DC" w14:textId="467F476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8F7D1F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63DD0FC" w14:textId="77777777" w:rsidR="008E3BA7" w:rsidRPr="00BF7956" w:rsidRDefault="008E3BA7" w:rsidP="008E3BA7">
            <w:pPr>
              <w:jc w:val="both"/>
              <w:rPr>
                <w:sz w:val="20"/>
                <w:szCs w:val="20"/>
                <w:lang w:val="ro-RO"/>
              </w:rPr>
            </w:pPr>
          </w:p>
        </w:tc>
        <w:tc>
          <w:tcPr>
            <w:tcW w:w="992" w:type="dxa"/>
          </w:tcPr>
          <w:p w14:paraId="4C87237F" w14:textId="77777777" w:rsidR="008E3BA7" w:rsidRPr="00BF7956" w:rsidRDefault="008E3BA7" w:rsidP="008E3BA7">
            <w:pPr>
              <w:jc w:val="both"/>
              <w:rPr>
                <w:sz w:val="20"/>
                <w:szCs w:val="20"/>
                <w:lang w:val="ro-RO"/>
              </w:rPr>
            </w:pPr>
          </w:p>
        </w:tc>
      </w:tr>
      <w:tr w:rsidR="008E3BA7" w:rsidRPr="00BF7956" w14:paraId="0128B24F"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46466256" w14:textId="77777777" w:rsidTr="00607F9A">
              <w:tc>
                <w:tcPr>
                  <w:tcW w:w="860" w:type="dxa"/>
                </w:tcPr>
                <w:p w14:paraId="79DA85FD" w14:textId="5807850E" w:rsidR="008E3BA7" w:rsidRPr="00BF7956" w:rsidRDefault="00620974"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560</w:t>
                  </w:r>
                </w:p>
              </w:tc>
              <w:tc>
                <w:tcPr>
                  <w:tcW w:w="3539" w:type="dxa"/>
                </w:tcPr>
                <w:p w14:paraId="2FFB017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2.1.3.5</w:t>
                  </w:r>
                  <w:r w:rsidRPr="00BF7956">
                    <w:rPr>
                      <w:color w:val="000000"/>
                      <w:sz w:val="20"/>
                      <w:szCs w:val="20"/>
                    </w:rPr>
                    <w:t xml:space="preserve"> </w:t>
                  </w:r>
                  <w:r w:rsidRPr="00BF7956">
                    <w:rPr>
                      <w:b/>
                      <w:bCs/>
                      <w:color w:val="000000"/>
                      <w:sz w:val="20"/>
                      <w:szCs w:val="20"/>
                    </w:rPr>
                    <w:t xml:space="preserve">Active de nivel 2B aferente sectorului public (CQS 3-5) </w:t>
                  </w:r>
                </w:p>
                <w:p w14:paraId="4F5335DE" w14:textId="2C7072C7" w:rsidR="00620974" w:rsidRPr="00BF7956" w:rsidRDefault="00620974" w:rsidP="00620974">
                  <w:pPr>
                    <w:framePr w:hSpace="180" w:wrap="around" w:vAnchor="text" w:hAnchor="margin" w:y="137"/>
                    <w:rPr>
                      <w:sz w:val="20"/>
                      <w:szCs w:val="20"/>
                      <w:lang w:val="ro-MD" w:eastAsia="en-US"/>
                    </w:rPr>
                  </w:pPr>
                  <w:r w:rsidRPr="00BF7956">
                    <w:rPr>
                      <w:sz w:val="20"/>
                      <w:szCs w:val="20"/>
                      <w:lang w:val="ro-MD" w:eastAsia="en-US"/>
                    </w:rPr>
                    <w:t>Cuantumul intrărilor de numerar raportate la punctul 2.1.3 care sunt garantate cu active de nivel 2B care nu sunt raportate la punctele 2.1.3.1-2.1.3.4.</w:t>
                  </w:r>
                </w:p>
              </w:tc>
            </w:tr>
          </w:tbl>
          <w:p w14:paraId="0ECEBBD8"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37A1389B" w14:textId="77777777" w:rsidTr="00144513">
              <w:tc>
                <w:tcPr>
                  <w:tcW w:w="860" w:type="dxa"/>
                </w:tcPr>
                <w:p w14:paraId="0BFD1BF4" w14:textId="4A9AD50B" w:rsidR="008E3BA7" w:rsidRPr="00BF7956" w:rsidRDefault="005B4BE1"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560</w:t>
                  </w:r>
                </w:p>
              </w:tc>
              <w:tc>
                <w:tcPr>
                  <w:tcW w:w="3539" w:type="dxa"/>
                </w:tcPr>
                <w:p w14:paraId="7724663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2.1.3.5</w:t>
                  </w:r>
                  <w:r w:rsidRPr="00BF7956">
                    <w:rPr>
                      <w:color w:val="000000"/>
                      <w:sz w:val="20"/>
                      <w:szCs w:val="20"/>
                    </w:rPr>
                    <w:t xml:space="preserve"> </w:t>
                  </w:r>
                  <w:r w:rsidRPr="00BF7956">
                    <w:rPr>
                      <w:b/>
                      <w:bCs/>
                      <w:color w:val="000000"/>
                      <w:sz w:val="20"/>
                      <w:szCs w:val="20"/>
                    </w:rPr>
                    <w:t>Active de nivel 2B aferente sectorului public (CQS 3-5)</w:t>
                  </w:r>
                </w:p>
                <w:p w14:paraId="08261285" w14:textId="6C54B379" w:rsidR="008E3BA7" w:rsidRPr="00BF7956" w:rsidRDefault="005B4BE1"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2.1.3 garantate cu active de nivel 2B care nu au fost raportate la punctele 2.1.3.1-2.1.3.4.</w:t>
                  </w:r>
                </w:p>
              </w:tc>
            </w:tr>
          </w:tbl>
          <w:p w14:paraId="2C0910C2"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2D49A4C" w14:textId="5BD9C9E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1303BC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2736B1D" w14:textId="77777777" w:rsidR="008E3BA7" w:rsidRPr="00BF7956" w:rsidRDefault="008E3BA7" w:rsidP="008E3BA7">
            <w:pPr>
              <w:jc w:val="both"/>
              <w:rPr>
                <w:sz w:val="20"/>
                <w:szCs w:val="20"/>
                <w:lang w:val="ro-RO"/>
              </w:rPr>
            </w:pPr>
          </w:p>
        </w:tc>
        <w:tc>
          <w:tcPr>
            <w:tcW w:w="992" w:type="dxa"/>
          </w:tcPr>
          <w:p w14:paraId="70E0F520" w14:textId="77777777" w:rsidR="008E3BA7" w:rsidRPr="00BF7956" w:rsidRDefault="008E3BA7" w:rsidP="008E3BA7">
            <w:pPr>
              <w:jc w:val="both"/>
              <w:rPr>
                <w:sz w:val="20"/>
                <w:szCs w:val="20"/>
                <w:lang w:val="ro-RO"/>
              </w:rPr>
            </w:pPr>
          </w:p>
        </w:tc>
      </w:tr>
      <w:tr w:rsidR="008E3BA7" w:rsidRPr="00BF7956" w14:paraId="30A08816" w14:textId="77777777" w:rsidTr="00C25F84">
        <w:tc>
          <w:tcPr>
            <w:tcW w:w="4576" w:type="dxa"/>
          </w:tcPr>
          <w:tbl>
            <w:tblPr>
              <w:tblStyle w:val="TableGrid"/>
              <w:tblW w:w="4403" w:type="dxa"/>
              <w:tblLayout w:type="fixed"/>
              <w:tblLook w:val="04A0" w:firstRow="1" w:lastRow="0" w:firstColumn="1" w:lastColumn="0" w:noHBand="0" w:noVBand="1"/>
            </w:tblPr>
            <w:tblGrid>
              <w:gridCol w:w="857"/>
              <w:gridCol w:w="3546"/>
            </w:tblGrid>
            <w:tr w:rsidR="008E3BA7" w:rsidRPr="002C43F1" w14:paraId="3D81A8BF" w14:textId="77777777" w:rsidTr="00607F9A">
              <w:tc>
                <w:tcPr>
                  <w:tcW w:w="857" w:type="dxa"/>
                </w:tcPr>
                <w:p w14:paraId="15374B2C" w14:textId="43975081" w:rsidR="008E3BA7" w:rsidRPr="00BF7956" w:rsidRDefault="00620974"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570</w:t>
                  </w:r>
                </w:p>
              </w:tc>
              <w:tc>
                <w:tcPr>
                  <w:tcW w:w="3546" w:type="dxa"/>
                </w:tcPr>
                <w:p w14:paraId="054B86DE" w14:textId="38E28B56" w:rsidR="008E3BA7" w:rsidRPr="00BF7956" w:rsidRDefault="008E3BA7" w:rsidP="008E3BA7">
                  <w:pPr>
                    <w:pStyle w:val="CM4"/>
                    <w:framePr w:hSpace="180" w:wrap="around" w:vAnchor="text" w:hAnchor="margin" w:y="137"/>
                    <w:spacing w:before="60" w:after="60"/>
                    <w:ind w:right="42"/>
                    <w:rPr>
                      <w:color w:val="000000"/>
                      <w:sz w:val="20"/>
                      <w:szCs w:val="20"/>
                    </w:rPr>
                  </w:pPr>
                  <w:r w:rsidRPr="00101940">
                    <w:rPr>
                      <w:b/>
                      <w:bCs/>
                      <w:color w:val="000000"/>
                      <w:sz w:val="20"/>
                      <w:szCs w:val="20"/>
                    </w:rPr>
                    <w:t>2.1.4</w:t>
                  </w:r>
                  <w:r w:rsidRPr="00BF7956">
                    <w:rPr>
                      <w:color w:val="000000"/>
                      <w:sz w:val="20"/>
                      <w:szCs w:val="20"/>
                    </w:rPr>
                    <w:t xml:space="preserve"> </w:t>
                  </w:r>
                  <w:r w:rsidRPr="00BF7956">
                    <w:rPr>
                      <w:b/>
                      <w:bCs/>
                      <w:color w:val="000000"/>
                      <w:sz w:val="20"/>
                      <w:szCs w:val="20"/>
                    </w:rPr>
                    <w:t xml:space="preserve">Alte active tranzacţionabile </w:t>
                  </w:r>
                  <w:r w:rsidR="00EF49B2" w:rsidRPr="00BF7956">
                    <w:rPr>
                      <w:color w:val="000000"/>
                      <w:sz w:val="20"/>
                      <w:szCs w:val="20"/>
                    </w:rPr>
                    <w:t>Cuantumul intrărilor de numerar raportate la punctul 2.1 care sunt garantate cu active tranzacţionabile care nu sunt raportate la punctul 2.1.1, 2.1.2 sau 2.1.3.</w:t>
                  </w:r>
                </w:p>
              </w:tc>
            </w:tr>
          </w:tbl>
          <w:p w14:paraId="18DF0550"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03" w:type="dxa"/>
              <w:tblLayout w:type="fixed"/>
              <w:tblLook w:val="04A0" w:firstRow="1" w:lastRow="0" w:firstColumn="1" w:lastColumn="0" w:noHBand="0" w:noVBand="1"/>
            </w:tblPr>
            <w:tblGrid>
              <w:gridCol w:w="857"/>
              <w:gridCol w:w="3546"/>
            </w:tblGrid>
            <w:tr w:rsidR="008E3BA7" w:rsidRPr="002C43F1" w14:paraId="4978997B" w14:textId="77777777" w:rsidTr="00144513">
              <w:tc>
                <w:tcPr>
                  <w:tcW w:w="857" w:type="dxa"/>
                </w:tcPr>
                <w:p w14:paraId="37D79887" w14:textId="4EEC4A79" w:rsidR="008E3BA7" w:rsidRPr="00BF7956" w:rsidRDefault="004E5679"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570</w:t>
                  </w:r>
                </w:p>
              </w:tc>
              <w:tc>
                <w:tcPr>
                  <w:tcW w:w="3546" w:type="dxa"/>
                </w:tcPr>
                <w:p w14:paraId="650344F0" w14:textId="08761FCC" w:rsidR="008E3BA7" w:rsidRPr="00BF7956" w:rsidRDefault="008E3BA7" w:rsidP="008E3BA7">
                  <w:pPr>
                    <w:pStyle w:val="CM4"/>
                    <w:framePr w:hSpace="180" w:wrap="around" w:vAnchor="text" w:hAnchor="margin" w:y="137"/>
                    <w:spacing w:before="60" w:after="60"/>
                    <w:ind w:right="42"/>
                    <w:rPr>
                      <w:color w:val="000000"/>
                      <w:sz w:val="20"/>
                      <w:szCs w:val="20"/>
                    </w:rPr>
                  </w:pPr>
                  <w:r w:rsidRPr="00101940">
                    <w:rPr>
                      <w:b/>
                      <w:bCs/>
                      <w:color w:val="000000"/>
                      <w:sz w:val="20"/>
                      <w:szCs w:val="20"/>
                    </w:rPr>
                    <w:t>2.1.4</w:t>
                  </w:r>
                  <w:r w:rsidRPr="00BF7956">
                    <w:rPr>
                      <w:color w:val="000000"/>
                      <w:sz w:val="20"/>
                      <w:szCs w:val="20"/>
                    </w:rPr>
                    <w:t xml:space="preserve"> </w:t>
                  </w:r>
                  <w:r w:rsidRPr="00BF7956">
                    <w:rPr>
                      <w:b/>
                      <w:bCs/>
                      <w:color w:val="000000"/>
                      <w:sz w:val="20"/>
                      <w:szCs w:val="20"/>
                    </w:rPr>
                    <w:t xml:space="preserve">Alte active tranzacţionabile </w:t>
                  </w:r>
                  <w:r w:rsidR="004E5679" w:rsidRPr="00BF7956">
                    <w:rPr>
                      <w:sz w:val="20"/>
                      <w:szCs w:val="20"/>
                    </w:rPr>
                    <w:t xml:space="preserve"> </w:t>
                  </w:r>
                  <w:r w:rsidR="004E5679" w:rsidRPr="00BF7956">
                    <w:rPr>
                      <w:color w:val="000000"/>
                      <w:sz w:val="20"/>
                      <w:szCs w:val="20"/>
                    </w:rPr>
                    <w:t>Cuantumul intrărilor de numerar raportate la punctul 2.1 garantate cu active tranzacționabile care nu sunt raportate la punctul 2.1.1, 2.1.2 sau 2.1.3.</w:t>
                  </w:r>
                </w:p>
              </w:tc>
            </w:tr>
          </w:tbl>
          <w:p w14:paraId="3EDB7CAB"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54A90B7" w14:textId="4D23148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89E7D8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3422445" w14:textId="77777777" w:rsidR="008E3BA7" w:rsidRPr="00BF7956" w:rsidRDefault="008E3BA7" w:rsidP="008E3BA7">
            <w:pPr>
              <w:jc w:val="both"/>
              <w:rPr>
                <w:sz w:val="20"/>
                <w:szCs w:val="20"/>
                <w:lang w:val="ro-RO"/>
              </w:rPr>
            </w:pPr>
          </w:p>
        </w:tc>
        <w:tc>
          <w:tcPr>
            <w:tcW w:w="992" w:type="dxa"/>
          </w:tcPr>
          <w:p w14:paraId="6B763372" w14:textId="77777777" w:rsidR="008E3BA7" w:rsidRPr="00BF7956" w:rsidRDefault="008E3BA7" w:rsidP="008E3BA7">
            <w:pPr>
              <w:jc w:val="both"/>
              <w:rPr>
                <w:sz w:val="20"/>
                <w:szCs w:val="20"/>
                <w:lang w:val="ro-RO"/>
              </w:rPr>
            </w:pPr>
          </w:p>
        </w:tc>
      </w:tr>
      <w:tr w:rsidR="008E3BA7" w:rsidRPr="00BF7956" w14:paraId="54D2FCFD"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334D7153" w14:textId="77777777" w:rsidTr="00607F9A">
              <w:tc>
                <w:tcPr>
                  <w:tcW w:w="860" w:type="dxa"/>
                </w:tcPr>
                <w:p w14:paraId="323386C6" w14:textId="66084179"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580</w:t>
                  </w:r>
                </w:p>
              </w:tc>
              <w:tc>
                <w:tcPr>
                  <w:tcW w:w="3539" w:type="dxa"/>
                </w:tcPr>
                <w:p w14:paraId="3B645F4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2.1.5</w:t>
                  </w:r>
                  <w:r w:rsidRPr="00BF7956">
                    <w:rPr>
                      <w:color w:val="000000"/>
                      <w:sz w:val="20"/>
                      <w:szCs w:val="20"/>
                    </w:rPr>
                    <w:t xml:space="preserve"> </w:t>
                  </w:r>
                  <w:r w:rsidRPr="00BF7956">
                    <w:rPr>
                      <w:b/>
                      <w:bCs/>
                      <w:color w:val="000000"/>
                      <w:sz w:val="20"/>
                      <w:szCs w:val="20"/>
                    </w:rPr>
                    <w:t xml:space="preserve">Alte active </w:t>
                  </w:r>
                </w:p>
                <w:p w14:paraId="7DC6162B" w14:textId="4B48A529" w:rsidR="008E3BA7" w:rsidRPr="00BF7956" w:rsidRDefault="00EF49B2"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 care sunt garantate cu active care nu sunt raportate la punctul 2.1.1, 2.1.2, 2.1.3 sau 2.1.4.</w:t>
                  </w:r>
                </w:p>
              </w:tc>
            </w:tr>
          </w:tbl>
          <w:p w14:paraId="6F646CBB"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72" w:type="dxa"/>
              <w:tblLayout w:type="fixed"/>
              <w:tblLook w:val="04A0" w:firstRow="1" w:lastRow="0" w:firstColumn="1" w:lastColumn="0" w:noHBand="0" w:noVBand="1"/>
            </w:tblPr>
            <w:tblGrid>
              <w:gridCol w:w="829"/>
              <w:gridCol w:w="3543"/>
            </w:tblGrid>
            <w:tr w:rsidR="008E3BA7" w:rsidRPr="002C43F1" w14:paraId="3A2CAF49" w14:textId="77777777" w:rsidTr="00607F9A">
              <w:tc>
                <w:tcPr>
                  <w:tcW w:w="829" w:type="dxa"/>
                </w:tcPr>
                <w:p w14:paraId="010B61C0" w14:textId="5280B4B8" w:rsidR="008E3BA7" w:rsidRPr="00BF7956" w:rsidRDefault="00FA4EF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580</w:t>
                  </w:r>
                </w:p>
              </w:tc>
              <w:tc>
                <w:tcPr>
                  <w:tcW w:w="3543" w:type="dxa"/>
                </w:tcPr>
                <w:p w14:paraId="78178DA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2.1.5</w:t>
                  </w:r>
                  <w:r w:rsidRPr="00BF7956">
                    <w:rPr>
                      <w:color w:val="000000"/>
                      <w:sz w:val="20"/>
                      <w:szCs w:val="20"/>
                    </w:rPr>
                    <w:t xml:space="preserve"> </w:t>
                  </w:r>
                  <w:r w:rsidRPr="00BF7956">
                    <w:rPr>
                      <w:b/>
                      <w:bCs/>
                      <w:color w:val="000000"/>
                      <w:sz w:val="20"/>
                      <w:szCs w:val="20"/>
                    </w:rPr>
                    <w:t xml:space="preserve">Alte active </w:t>
                  </w:r>
                </w:p>
                <w:p w14:paraId="2CB1C058" w14:textId="6A010854" w:rsidR="008E3BA7" w:rsidRPr="00BF7956" w:rsidRDefault="00FA4EFF"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2.1 garantate cu active care nu sunt raportate la punct</w:t>
                  </w:r>
                  <w:r w:rsidR="00817FE6">
                    <w:rPr>
                      <w:color w:val="000000"/>
                      <w:sz w:val="20"/>
                      <w:szCs w:val="20"/>
                    </w:rPr>
                    <w:t xml:space="preserve">ele </w:t>
                  </w:r>
                  <w:r w:rsidRPr="00BF7956">
                    <w:rPr>
                      <w:color w:val="000000"/>
                      <w:sz w:val="20"/>
                      <w:szCs w:val="20"/>
                    </w:rPr>
                    <w:t>2.1.1, 2.1.2, 2.1.3 sau 2.1.4.</w:t>
                  </w:r>
                </w:p>
              </w:tc>
            </w:tr>
          </w:tbl>
          <w:p w14:paraId="7AAC3745"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BD13D4A" w14:textId="7B90765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529170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4652488" w14:textId="77777777" w:rsidR="008E3BA7" w:rsidRPr="00BF7956" w:rsidRDefault="008E3BA7" w:rsidP="008E3BA7">
            <w:pPr>
              <w:jc w:val="both"/>
              <w:rPr>
                <w:sz w:val="20"/>
                <w:szCs w:val="20"/>
                <w:lang w:val="ro-RO"/>
              </w:rPr>
            </w:pPr>
          </w:p>
        </w:tc>
        <w:tc>
          <w:tcPr>
            <w:tcW w:w="992" w:type="dxa"/>
          </w:tcPr>
          <w:p w14:paraId="67377010" w14:textId="77777777" w:rsidR="008E3BA7" w:rsidRPr="00BF7956" w:rsidRDefault="008E3BA7" w:rsidP="008E3BA7">
            <w:pPr>
              <w:jc w:val="both"/>
              <w:rPr>
                <w:sz w:val="20"/>
                <w:szCs w:val="20"/>
                <w:lang w:val="ro-RO"/>
              </w:rPr>
            </w:pPr>
          </w:p>
        </w:tc>
      </w:tr>
      <w:tr w:rsidR="008E3BA7" w:rsidRPr="00BF7956" w14:paraId="3426A655" w14:textId="77777777" w:rsidTr="00C25F84">
        <w:tc>
          <w:tcPr>
            <w:tcW w:w="4576" w:type="dxa"/>
          </w:tcPr>
          <w:tbl>
            <w:tblPr>
              <w:tblStyle w:val="TableGrid"/>
              <w:tblW w:w="4401" w:type="dxa"/>
              <w:tblLayout w:type="fixed"/>
              <w:tblLook w:val="04A0" w:firstRow="1" w:lastRow="0" w:firstColumn="1" w:lastColumn="0" w:noHBand="0" w:noVBand="1"/>
            </w:tblPr>
            <w:tblGrid>
              <w:gridCol w:w="847"/>
              <w:gridCol w:w="3554"/>
            </w:tblGrid>
            <w:tr w:rsidR="008E3BA7" w:rsidRPr="002C43F1" w14:paraId="1532F0AC" w14:textId="77777777" w:rsidTr="00607F9A">
              <w:tc>
                <w:tcPr>
                  <w:tcW w:w="847" w:type="dxa"/>
                </w:tcPr>
                <w:p w14:paraId="3D0140D0" w14:textId="3CF4E6E4"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590</w:t>
                  </w:r>
                </w:p>
              </w:tc>
              <w:tc>
                <w:tcPr>
                  <w:tcW w:w="3554" w:type="dxa"/>
                </w:tcPr>
                <w:p w14:paraId="2CF4072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w:t>
                  </w:r>
                  <w:r w:rsidRPr="00BF7956">
                    <w:rPr>
                      <w:color w:val="000000"/>
                      <w:sz w:val="20"/>
                      <w:szCs w:val="20"/>
                    </w:rPr>
                    <w:t xml:space="preserve"> </w:t>
                  </w:r>
                  <w:r w:rsidRPr="00BF7956">
                    <w:rPr>
                      <w:b/>
                      <w:bCs/>
                      <w:color w:val="000000"/>
                      <w:sz w:val="20"/>
                      <w:szCs w:val="20"/>
                    </w:rPr>
                    <w:t xml:space="preserve">Sume de primit care nu sunt raportate la punctul 2.1 rezultate din credite și avansuri acordate: </w:t>
                  </w:r>
                </w:p>
                <w:p w14:paraId="74204639" w14:textId="7019E85C"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Intrări de numerar din credite și avansuri Intrările de numerar se raportează la cel mai târziu termen contractual posibil pentru rambursare. În cazul facilităţilor reînnoibile, se presupune că împrumutul existent se reînnoiește și orice solduri rămase sunt tratate ca facilităţi angajate.</w:t>
                  </w:r>
                </w:p>
              </w:tc>
            </w:tr>
          </w:tbl>
          <w:p w14:paraId="463EC4A4"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01" w:type="dxa"/>
              <w:tblLayout w:type="fixed"/>
              <w:tblLook w:val="04A0" w:firstRow="1" w:lastRow="0" w:firstColumn="1" w:lastColumn="0" w:noHBand="0" w:noVBand="1"/>
            </w:tblPr>
            <w:tblGrid>
              <w:gridCol w:w="847"/>
              <w:gridCol w:w="3554"/>
            </w:tblGrid>
            <w:tr w:rsidR="008E3BA7" w:rsidRPr="002C43F1" w14:paraId="04B75FB5" w14:textId="77777777" w:rsidTr="00144513">
              <w:tc>
                <w:tcPr>
                  <w:tcW w:w="847" w:type="dxa"/>
                </w:tcPr>
                <w:p w14:paraId="251D12FD" w14:textId="40ACC096" w:rsidR="008E3BA7" w:rsidRPr="00BF7956" w:rsidRDefault="00E61CC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590</w:t>
                  </w:r>
                </w:p>
              </w:tc>
              <w:tc>
                <w:tcPr>
                  <w:tcW w:w="3554" w:type="dxa"/>
                </w:tcPr>
                <w:p w14:paraId="676E303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w:t>
                  </w:r>
                  <w:r w:rsidRPr="00BF7956">
                    <w:rPr>
                      <w:color w:val="000000"/>
                      <w:sz w:val="20"/>
                      <w:szCs w:val="20"/>
                    </w:rPr>
                    <w:t xml:space="preserve"> </w:t>
                  </w:r>
                  <w:r w:rsidRPr="00BF7956">
                    <w:rPr>
                      <w:b/>
                      <w:bCs/>
                      <w:color w:val="000000"/>
                      <w:sz w:val="20"/>
                      <w:szCs w:val="20"/>
                    </w:rPr>
                    <w:t xml:space="preserve">Sume de primit care nu sunt raportate la punctul 2.1 rezultate din credite și avansuri acordate: </w:t>
                  </w:r>
                </w:p>
                <w:p w14:paraId="093D0361" w14:textId="77777777"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Intrări de numerar din credite și avansuri Intrările de numerar se raportează la cel mai târziu termen contractual posibil pentru rambursare. În cazul facilităţilor reînnoibile, se presupune că împrumutul existent se reînnoiește și orice solduri rămase sunt tratate ca facilităţi angajate.</w:t>
                  </w:r>
                </w:p>
              </w:tc>
            </w:tr>
          </w:tbl>
          <w:p w14:paraId="710AAF34" w14:textId="77777777" w:rsidR="008E3BA7" w:rsidRPr="00BF7956" w:rsidRDefault="008E3BA7" w:rsidP="008E3BA7">
            <w:pPr>
              <w:autoSpaceDE w:val="0"/>
              <w:autoSpaceDN w:val="0"/>
              <w:adjustRightInd w:val="0"/>
              <w:spacing w:before="60" w:after="60"/>
              <w:jc w:val="center"/>
              <w:rPr>
                <w:color w:val="000000"/>
                <w:sz w:val="20"/>
                <w:szCs w:val="20"/>
                <w:lang w:val="ro-MD"/>
              </w:rPr>
            </w:pPr>
          </w:p>
        </w:tc>
        <w:tc>
          <w:tcPr>
            <w:tcW w:w="1418" w:type="dxa"/>
          </w:tcPr>
          <w:p w14:paraId="41F056C0" w14:textId="571E911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C3CDD2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5FC7C4F" w14:textId="77777777" w:rsidR="008E3BA7" w:rsidRPr="00BF7956" w:rsidRDefault="008E3BA7" w:rsidP="008E3BA7">
            <w:pPr>
              <w:jc w:val="both"/>
              <w:rPr>
                <w:sz w:val="20"/>
                <w:szCs w:val="20"/>
                <w:lang w:val="ro-RO"/>
              </w:rPr>
            </w:pPr>
          </w:p>
        </w:tc>
        <w:tc>
          <w:tcPr>
            <w:tcW w:w="992" w:type="dxa"/>
          </w:tcPr>
          <w:p w14:paraId="42398817" w14:textId="77777777" w:rsidR="008E3BA7" w:rsidRPr="00BF7956" w:rsidRDefault="008E3BA7" w:rsidP="008E3BA7">
            <w:pPr>
              <w:jc w:val="both"/>
              <w:rPr>
                <w:sz w:val="20"/>
                <w:szCs w:val="20"/>
                <w:lang w:val="ro-RO"/>
              </w:rPr>
            </w:pPr>
          </w:p>
        </w:tc>
      </w:tr>
      <w:tr w:rsidR="008E3BA7" w:rsidRPr="00BF7956" w14:paraId="61911928" w14:textId="77777777" w:rsidTr="00C25F84">
        <w:tc>
          <w:tcPr>
            <w:tcW w:w="4576" w:type="dxa"/>
          </w:tcPr>
          <w:tbl>
            <w:tblPr>
              <w:tblStyle w:val="TableGrid"/>
              <w:tblW w:w="4404" w:type="dxa"/>
              <w:tblLayout w:type="fixed"/>
              <w:tblLook w:val="04A0" w:firstRow="1" w:lastRow="0" w:firstColumn="1" w:lastColumn="0" w:noHBand="0" w:noVBand="1"/>
            </w:tblPr>
            <w:tblGrid>
              <w:gridCol w:w="850"/>
              <w:gridCol w:w="3554"/>
            </w:tblGrid>
            <w:tr w:rsidR="008E3BA7" w:rsidRPr="002C43F1" w14:paraId="2A2913BD" w14:textId="77777777" w:rsidTr="00121113">
              <w:tc>
                <w:tcPr>
                  <w:tcW w:w="850" w:type="dxa"/>
                </w:tcPr>
                <w:p w14:paraId="5E47A29E" w14:textId="1A4AA03B"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600</w:t>
                  </w:r>
                </w:p>
              </w:tc>
              <w:tc>
                <w:tcPr>
                  <w:tcW w:w="3554" w:type="dxa"/>
                </w:tcPr>
                <w:p w14:paraId="09EC325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2.2.1</w:t>
                  </w:r>
                  <w:r w:rsidRPr="00BF7956">
                    <w:rPr>
                      <w:color w:val="000000"/>
                      <w:sz w:val="20"/>
                      <w:szCs w:val="20"/>
                    </w:rPr>
                    <w:t xml:space="preserve"> </w:t>
                  </w:r>
                  <w:r w:rsidRPr="00BF7956">
                    <w:rPr>
                      <w:b/>
                      <w:bCs/>
                      <w:color w:val="000000"/>
                      <w:sz w:val="20"/>
                      <w:szCs w:val="20"/>
                    </w:rPr>
                    <w:t xml:space="preserve">Clienţilor retail </w:t>
                  </w:r>
                </w:p>
                <w:p w14:paraId="7D3660B6" w14:textId="09EA5C6D" w:rsidR="008E3BA7" w:rsidRPr="00BF7956" w:rsidRDefault="00EF49B2"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2.2 care provin de la persoane fizice sau IMM-uri în conformitate cu articolul 411 alineatul (2) din Regulamentul (UE) nr. 575/2013.</w:t>
                  </w:r>
                </w:p>
              </w:tc>
            </w:tr>
          </w:tbl>
          <w:p w14:paraId="43D53D40"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04" w:type="dxa"/>
              <w:tblLayout w:type="fixed"/>
              <w:tblLook w:val="04A0" w:firstRow="1" w:lastRow="0" w:firstColumn="1" w:lastColumn="0" w:noHBand="0" w:noVBand="1"/>
            </w:tblPr>
            <w:tblGrid>
              <w:gridCol w:w="850"/>
              <w:gridCol w:w="3554"/>
            </w:tblGrid>
            <w:tr w:rsidR="008E3BA7" w:rsidRPr="002C43F1" w14:paraId="73EF93A1" w14:textId="77777777" w:rsidTr="00144513">
              <w:tc>
                <w:tcPr>
                  <w:tcW w:w="850" w:type="dxa"/>
                </w:tcPr>
                <w:p w14:paraId="7DE10DC4" w14:textId="3E651442" w:rsidR="008E3BA7" w:rsidRPr="00BF7956" w:rsidRDefault="00E61CC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600</w:t>
                  </w:r>
                </w:p>
              </w:tc>
              <w:tc>
                <w:tcPr>
                  <w:tcW w:w="3554" w:type="dxa"/>
                </w:tcPr>
                <w:p w14:paraId="30CEA3D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2.2.1</w:t>
                  </w:r>
                  <w:r w:rsidRPr="00BF7956">
                    <w:rPr>
                      <w:color w:val="000000"/>
                      <w:sz w:val="20"/>
                      <w:szCs w:val="20"/>
                    </w:rPr>
                    <w:t xml:space="preserve"> </w:t>
                  </w:r>
                  <w:r w:rsidRPr="00BF7956">
                    <w:rPr>
                      <w:b/>
                      <w:bCs/>
                      <w:color w:val="000000"/>
                      <w:sz w:val="20"/>
                      <w:szCs w:val="20"/>
                    </w:rPr>
                    <w:t xml:space="preserve">Clienţilor retail </w:t>
                  </w:r>
                </w:p>
                <w:p w14:paraId="3DDA1F4D" w14:textId="44A97B32" w:rsidR="008E3BA7" w:rsidRPr="00BF7956" w:rsidRDefault="00E61CCB"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Cuantumul intrărilor de numerar raportate la punctul 2.2 care provin de la persoane fizice sau IMM-uri în conformitate cu punctul 5 subpunctul 6) din Regulamentul nr.44/2020 privind cerinţele de acoperire a necesarului de lichiditate pentru bănci.</w:t>
                  </w:r>
                </w:p>
              </w:tc>
            </w:tr>
          </w:tbl>
          <w:p w14:paraId="669B8E19"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8A74AB7" w14:textId="1A1138E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4EA556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CDC15AE" w14:textId="77777777" w:rsidR="008E3BA7" w:rsidRPr="00BF7956" w:rsidRDefault="008E3BA7" w:rsidP="008E3BA7">
            <w:pPr>
              <w:jc w:val="both"/>
              <w:rPr>
                <w:sz w:val="20"/>
                <w:szCs w:val="20"/>
                <w:lang w:val="ro-RO"/>
              </w:rPr>
            </w:pPr>
          </w:p>
        </w:tc>
        <w:tc>
          <w:tcPr>
            <w:tcW w:w="992" w:type="dxa"/>
          </w:tcPr>
          <w:p w14:paraId="5238A14E" w14:textId="77777777" w:rsidR="008E3BA7" w:rsidRPr="00BF7956" w:rsidRDefault="008E3BA7" w:rsidP="008E3BA7">
            <w:pPr>
              <w:jc w:val="both"/>
              <w:rPr>
                <w:sz w:val="20"/>
                <w:szCs w:val="20"/>
                <w:lang w:val="ro-RO"/>
              </w:rPr>
            </w:pPr>
          </w:p>
        </w:tc>
      </w:tr>
      <w:tr w:rsidR="008E3BA7" w:rsidRPr="00BF7956" w14:paraId="02635E02"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78D9C2CE" w14:textId="77777777" w:rsidTr="00121113">
              <w:tc>
                <w:tcPr>
                  <w:tcW w:w="860" w:type="dxa"/>
                </w:tcPr>
                <w:p w14:paraId="04E7099D" w14:textId="7EE88973"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610</w:t>
                  </w:r>
                </w:p>
              </w:tc>
              <w:tc>
                <w:tcPr>
                  <w:tcW w:w="3539" w:type="dxa"/>
                </w:tcPr>
                <w:p w14:paraId="2E68783F" w14:textId="19D39139"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2.2.2</w:t>
                  </w:r>
                  <w:r w:rsidRPr="00BF7956">
                    <w:rPr>
                      <w:color w:val="000000"/>
                      <w:sz w:val="20"/>
                      <w:szCs w:val="20"/>
                    </w:rPr>
                    <w:t xml:space="preserve"> </w:t>
                  </w:r>
                  <w:r w:rsidRPr="00BF7956">
                    <w:rPr>
                      <w:b/>
                      <w:bCs/>
                      <w:color w:val="000000"/>
                      <w:sz w:val="20"/>
                      <w:szCs w:val="20"/>
                    </w:rPr>
                    <w:t xml:space="preserve">Societăţilor nefinanciare </w:t>
                  </w:r>
                  <w:r w:rsidR="00EF49B2" w:rsidRPr="00BF7956">
                    <w:rPr>
                      <w:color w:val="000000"/>
                      <w:sz w:val="20"/>
                      <w:szCs w:val="20"/>
                    </w:rPr>
                    <w:t>Cuantumul intrărilor de numerar raportate la punctul 2.2 care provin de la societăţi nefinanciare.</w:t>
                  </w:r>
                </w:p>
              </w:tc>
            </w:tr>
          </w:tbl>
          <w:p w14:paraId="25EBC591"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72" w:type="dxa"/>
              <w:tblLayout w:type="fixed"/>
              <w:tblLook w:val="04A0" w:firstRow="1" w:lastRow="0" w:firstColumn="1" w:lastColumn="0" w:noHBand="0" w:noVBand="1"/>
            </w:tblPr>
            <w:tblGrid>
              <w:gridCol w:w="829"/>
              <w:gridCol w:w="3543"/>
            </w:tblGrid>
            <w:tr w:rsidR="008E3BA7" w:rsidRPr="002C43F1" w14:paraId="70A8748D" w14:textId="77777777" w:rsidTr="00121113">
              <w:tc>
                <w:tcPr>
                  <w:tcW w:w="829" w:type="dxa"/>
                </w:tcPr>
                <w:p w14:paraId="25DB0584" w14:textId="7EA5F1AC" w:rsidR="008E3BA7" w:rsidRPr="00BF7956" w:rsidRDefault="00E61CC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610</w:t>
                  </w:r>
                </w:p>
              </w:tc>
              <w:tc>
                <w:tcPr>
                  <w:tcW w:w="3543" w:type="dxa"/>
                </w:tcPr>
                <w:p w14:paraId="5E6F58A4" w14:textId="71E52413"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2.2.2</w:t>
                  </w:r>
                  <w:r w:rsidRPr="00BF7956">
                    <w:rPr>
                      <w:color w:val="000000"/>
                      <w:sz w:val="20"/>
                      <w:szCs w:val="20"/>
                    </w:rPr>
                    <w:t xml:space="preserve"> </w:t>
                  </w:r>
                  <w:r w:rsidRPr="00BF7956">
                    <w:rPr>
                      <w:b/>
                      <w:bCs/>
                      <w:color w:val="000000"/>
                      <w:sz w:val="20"/>
                      <w:szCs w:val="20"/>
                    </w:rPr>
                    <w:t xml:space="preserve">Societăţilor nefinanciare </w:t>
                  </w:r>
                  <w:r w:rsidRPr="00BF7956">
                    <w:rPr>
                      <w:color w:val="000000"/>
                      <w:sz w:val="20"/>
                      <w:szCs w:val="20"/>
                    </w:rPr>
                    <w:t xml:space="preserve">Cuantumul intrărilor de numerar raportate </w:t>
                  </w:r>
                  <w:r w:rsidR="00E61CCB" w:rsidRPr="00BF7956">
                    <w:rPr>
                      <w:sz w:val="20"/>
                      <w:szCs w:val="20"/>
                    </w:rPr>
                    <w:t xml:space="preserve"> </w:t>
                  </w:r>
                  <w:r w:rsidR="00E61CCB" w:rsidRPr="00BF7956">
                    <w:rPr>
                      <w:color w:val="000000"/>
                      <w:sz w:val="20"/>
                      <w:szCs w:val="20"/>
                    </w:rPr>
                    <w:t xml:space="preserve">la punctul 2.2 </w:t>
                  </w:r>
                  <w:r w:rsidRPr="00BF7956">
                    <w:rPr>
                      <w:color w:val="000000"/>
                      <w:sz w:val="20"/>
                      <w:szCs w:val="20"/>
                    </w:rPr>
                    <w:t>care provin de la societăţi nefinanciare.</w:t>
                  </w:r>
                </w:p>
              </w:tc>
            </w:tr>
          </w:tbl>
          <w:p w14:paraId="610711A8"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73D4CE5" w14:textId="6D84632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5BBD87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26D1173" w14:textId="77777777" w:rsidR="008E3BA7" w:rsidRPr="00BF7956" w:rsidRDefault="008E3BA7" w:rsidP="008E3BA7">
            <w:pPr>
              <w:jc w:val="both"/>
              <w:rPr>
                <w:sz w:val="20"/>
                <w:szCs w:val="20"/>
                <w:lang w:val="ro-RO"/>
              </w:rPr>
            </w:pPr>
          </w:p>
        </w:tc>
        <w:tc>
          <w:tcPr>
            <w:tcW w:w="992" w:type="dxa"/>
          </w:tcPr>
          <w:p w14:paraId="2D431AAE" w14:textId="77777777" w:rsidR="008E3BA7" w:rsidRPr="00BF7956" w:rsidRDefault="008E3BA7" w:rsidP="008E3BA7">
            <w:pPr>
              <w:jc w:val="both"/>
              <w:rPr>
                <w:sz w:val="20"/>
                <w:szCs w:val="20"/>
                <w:lang w:val="ro-RO"/>
              </w:rPr>
            </w:pPr>
          </w:p>
        </w:tc>
      </w:tr>
      <w:tr w:rsidR="008E3BA7" w:rsidRPr="00BF7956" w14:paraId="34848462"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05E082DC" w14:textId="77777777" w:rsidTr="00121113">
              <w:tc>
                <w:tcPr>
                  <w:tcW w:w="860" w:type="dxa"/>
                </w:tcPr>
                <w:p w14:paraId="55134256" w14:textId="6477016F"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620</w:t>
                  </w:r>
                </w:p>
              </w:tc>
              <w:tc>
                <w:tcPr>
                  <w:tcW w:w="3539" w:type="dxa"/>
                </w:tcPr>
                <w:p w14:paraId="735580F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2.2.3</w:t>
                  </w:r>
                  <w:r w:rsidRPr="00BF7956">
                    <w:rPr>
                      <w:color w:val="000000"/>
                      <w:sz w:val="20"/>
                      <w:szCs w:val="20"/>
                    </w:rPr>
                    <w:t xml:space="preserve"> </w:t>
                  </w:r>
                  <w:r w:rsidRPr="00BF7956">
                    <w:rPr>
                      <w:b/>
                      <w:bCs/>
                      <w:color w:val="000000"/>
                      <w:sz w:val="20"/>
                      <w:szCs w:val="20"/>
                    </w:rPr>
                    <w:t xml:space="preserve">Instituţiilor de credit </w:t>
                  </w:r>
                </w:p>
                <w:p w14:paraId="5EE4AD7D" w14:textId="43A51FC1" w:rsidR="008E3BA7" w:rsidRPr="00BF7956" w:rsidRDefault="00EF49B2"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2.2 care provin de la instituţii de credit.</w:t>
                  </w:r>
                </w:p>
              </w:tc>
            </w:tr>
          </w:tbl>
          <w:p w14:paraId="5B6A5AFA"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31F11903" w14:textId="77777777" w:rsidTr="00144513">
              <w:tc>
                <w:tcPr>
                  <w:tcW w:w="860" w:type="dxa"/>
                </w:tcPr>
                <w:p w14:paraId="6C2E9B7F" w14:textId="49DC403C" w:rsidR="008E3BA7" w:rsidRPr="00BF7956" w:rsidRDefault="00E61CC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620</w:t>
                  </w:r>
                </w:p>
              </w:tc>
              <w:tc>
                <w:tcPr>
                  <w:tcW w:w="3539" w:type="dxa"/>
                </w:tcPr>
                <w:p w14:paraId="5EC5BC65" w14:textId="77777777" w:rsidR="00E61CCB" w:rsidRPr="00BF7956" w:rsidRDefault="00E61CCB" w:rsidP="00E61CCB">
                  <w:pPr>
                    <w:pStyle w:val="CM4"/>
                    <w:framePr w:hSpace="180" w:wrap="around" w:vAnchor="text" w:hAnchor="margin" w:y="137"/>
                    <w:spacing w:before="60" w:after="60"/>
                    <w:rPr>
                      <w:b/>
                      <w:bCs/>
                      <w:color w:val="000000"/>
                      <w:sz w:val="20"/>
                      <w:szCs w:val="20"/>
                    </w:rPr>
                  </w:pPr>
                  <w:r w:rsidRPr="00BF7956">
                    <w:rPr>
                      <w:b/>
                      <w:bCs/>
                      <w:color w:val="000000"/>
                      <w:sz w:val="20"/>
                      <w:szCs w:val="20"/>
                    </w:rPr>
                    <w:t>2.2.3 Băncilor</w:t>
                  </w:r>
                </w:p>
                <w:p w14:paraId="53104342" w14:textId="62D96A9F" w:rsidR="008E3BA7" w:rsidRPr="00BF7956" w:rsidRDefault="00E61CCB" w:rsidP="00E61CCB">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2.2 care provin de la bănci.</w:t>
                  </w:r>
                </w:p>
              </w:tc>
            </w:tr>
          </w:tbl>
          <w:p w14:paraId="1A310788"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5FAB6A8" w14:textId="2CD75BA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E3E4B7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6E1AE15" w14:textId="77777777" w:rsidR="008E3BA7" w:rsidRPr="00BF7956" w:rsidRDefault="008E3BA7" w:rsidP="008E3BA7">
            <w:pPr>
              <w:jc w:val="both"/>
              <w:rPr>
                <w:sz w:val="20"/>
                <w:szCs w:val="20"/>
                <w:lang w:val="ro-RO"/>
              </w:rPr>
            </w:pPr>
          </w:p>
        </w:tc>
        <w:tc>
          <w:tcPr>
            <w:tcW w:w="992" w:type="dxa"/>
          </w:tcPr>
          <w:p w14:paraId="6AE028A7" w14:textId="77777777" w:rsidR="008E3BA7" w:rsidRPr="00BF7956" w:rsidRDefault="008E3BA7" w:rsidP="008E3BA7">
            <w:pPr>
              <w:jc w:val="both"/>
              <w:rPr>
                <w:sz w:val="20"/>
                <w:szCs w:val="20"/>
                <w:lang w:val="ro-RO"/>
              </w:rPr>
            </w:pPr>
          </w:p>
        </w:tc>
      </w:tr>
      <w:tr w:rsidR="00EF49B2" w:rsidRPr="002C43F1" w14:paraId="33D294D1"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EF49B2" w:rsidRPr="002C43F1" w14:paraId="75EFA02E" w14:textId="77777777" w:rsidTr="00472775">
              <w:tc>
                <w:tcPr>
                  <w:tcW w:w="860" w:type="dxa"/>
                </w:tcPr>
                <w:p w14:paraId="30A3E859" w14:textId="1FFAD72E" w:rsidR="00EF49B2" w:rsidRPr="00BF7956" w:rsidRDefault="00EF49B2" w:rsidP="00EF49B2">
                  <w:pPr>
                    <w:pStyle w:val="CM4"/>
                    <w:framePr w:hSpace="180" w:wrap="around" w:vAnchor="text" w:hAnchor="margin" w:y="137"/>
                    <w:spacing w:before="60" w:after="60"/>
                    <w:rPr>
                      <w:i/>
                      <w:iCs/>
                      <w:color w:val="000000"/>
                      <w:sz w:val="20"/>
                      <w:szCs w:val="20"/>
                      <w:lang w:val="ro-RO"/>
                    </w:rPr>
                  </w:pPr>
                  <w:r w:rsidRPr="00BF7956">
                    <w:rPr>
                      <w:color w:val="000000"/>
                      <w:sz w:val="20"/>
                      <w:szCs w:val="20"/>
                      <w:lang w:val="ro-RO"/>
                    </w:rPr>
                    <w:t>0621</w:t>
                  </w:r>
                </w:p>
              </w:tc>
              <w:tc>
                <w:tcPr>
                  <w:tcW w:w="3539" w:type="dxa"/>
                </w:tcPr>
                <w:p w14:paraId="64BB065A" w14:textId="72CE017F" w:rsidR="00EF49B2" w:rsidRPr="00BF7956" w:rsidRDefault="00EF49B2" w:rsidP="00EF49B2">
                  <w:pPr>
                    <w:pStyle w:val="CM4"/>
                    <w:framePr w:hSpace="180" w:wrap="around" w:vAnchor="text" w:hAnchor="margin" w:y="137"/>
                    <w:spacing w:before="60" w:after="60"/>
                    <w:rPr>
                      <w:color w:val="000000"/>
                      <w:sz w:val="20"/>
                      <w:szCs w:val="20"/>
                    </w:rPr>
                  </w:pPr>
                  <w:r w:rsidRPr="00BF7956">
                    <w:rPr>
                      <w:b/>
                      <w:bCs/>
                      <w:color w:val="000000"/>
                      <w:sz w:val="20"/>
                      <w:szCs w:val="20"/>
                    </w:rPr>
                    <w:t>2.2.3.1 din care: intragrup sau IPS</w:t>
                  </w:r>
                  <w:r w:rsidRPr="00BF7956">
                    <w:rPr>
                      <w:color w:val="000000"/>
                      <w:sz w:val="20"/>
                      <w:szCs w:val="20"/>
                    </w:rPr>
                    <w:t xml:space="preserve"> Cuantumul intrărilor de la punctul 2.2.3 în cazul în care contrapartea este o instituţie-mamă sau o filială a instituţiei sau o altă filială a aceleiași instituţii- mamă ori este legată de instituţia de credit printr-o relaţie în sensul articolului 22 alineatul (7) din 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2BAFBAD6" w14:textId="77777777" w:rsidR="00EF49B2" w:rsidRPr="00BF7956" w:rsidRDefault="00EF49B2"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E61CCB" w:rsidRPr="002C43F1" w14:paraId="6A488FF7" w14:textId="77777777" w:rsidTr="00472775">
              <w:tc>
                <w:tcPr>
                  <w:tcW w:w="860" w:type="dxa"/>
                </w:tcPr>
                <w:p w14:paraId="2E8323CE" w14:textId="77777777" w:rsidR="00E61CCB" w:rsidRPr="00BF7956" w:rsidRDefault="00E61CCB" w:rsidP="00E61CCB">
                  <w:pPr>
                    <w:pStyle w:val="CM4"/>
                    <w:framePr w:hSpace="180" w:wrap="around" w:vAnchor="text" w:hAnchor="margin" w:y="137"/>
                    <w:spacing w:before="60" w:after="60"/>
                    <w:rPr>
                      <w:i/>
                      <w:iCs/>
                      <w:color w:val="000000"/>
                      <w:sz w:val="20"/>
                      <w:szCs w:val="20"/>
                      <w:lang w:val="ro-RO"/>
                    </w:rPr>
                  </w:pPr>
                  <w:r w:rsidRPr="00BF7956">
                    <w:rPr>
                      <w:color w:val="000000"/>
                      <w:sz w:val="20"/>
                      <w:szCs w:val="20"/>
                      <w:lang w:val="ro-RO"/>
                    </w:rPr>
                    <w:t>0621</w:t>
                  </w:r>
                </w:p>
              </w:tc>
              <w:tc>
                <w:tcPr>
                  <w:tcW w:w="3539" w:type="dxa"/>
                </w:tcPr>
                <w:p w14:paraId="78017092" w14:textId="7CC7EB8A" w:rsidR="00E61CCB" w:rsidRPr="00BF7956" w:rsidRDefault="00E61CCB" w:rsidP="00E61CCB">
                  <w:pPr>
                    <w:pStyle w:val="CM4"/>
                    <w:framePr w:hSpace="180" w:wrap="around" w:vAnchor="text" w:hAnchor="margin" w:y="137"/>
                    <w:spacing w:before="60" w:after="60"/>
                    <w:rPr>
                      <w:color w:val="000000"/>
                      <w:sz w:val="20"/>
                      <w:szCs w:val="20"/>
                    </w:rPr>
                  </w:pPr>
                  <w:r w:rsidRPr="00BF7956">
                    <w:rPr>
                      <w:b/>
                      <w:bCs/>
                      <w:color w:val="000000"/>
                      <w:sz w:val="20"/>
                      <w:szCs w:val="20"/>
                    </w:rPr>
                    <w:t>2.2.3.1 din care: intragrup sau IPS</w:t>
                  </w:r>
                  <w:r w:rsidRPr="00BF7956">
                    <w:rPr>
                      <w:color w:val="000000"/>
                      <w:sz w:val="20"/>
                      <w:szCs w:val="20"/>
                    </w:rPr>
                    <w:t xml:space="preserve"> </w:t>
                  </w:r>
                </w:p>
              </w:tc>
            </w:tr>
          </w:tbl>
          <w:p w14:paraId="0F9F5CC4" w14:textId="77777777" w:rsidR="00EF49B2" w:rsidRPr="00BF7956" w:rsidRDefault="00EF49B2" w:rsidP="008E3BA7">
            <w:pPr>
              <w:pStyle w:val="CM4"/>
              <w:spacing w:before="60" w:after="60"/>
              <w:rPr>
                <w:color w:val="000000"/>
                <w:sz w:val="20"/>
                <w:szCs w:val="20"/>
                <w:lang w:val="en-US"/>
              </w:rPr>
            </w:pPr>
          </w:p>
        </w:tc>
        <w:tc>
          <w:tcPr>
            <w:tcW w:w="1418" w:type="dxa"/>
          </w:tcPr>
          <w:p w14:paraId="6FB68771" w14:textId="6A4E1CA9" w:rsidR="00EF49B2" w:rsidRPr="00BF7956" w:rsidRDefault="00E61CCB" w:rsidP="008E3BA7">
            <w:pPr>
              <w:rPr>
                <w:bCs/>
                <w:sz w:val="20"/>
                <w:szCs w:val="20"/>
                <w:lang w:val="ro-RO"/>
              </w:rPr>
            </w:pPr>
            <w:r w:rsidRPr="00101940">
              <w:rPr>
                <w:bCs/>
                <w:sz w:val="20"/>
                <w:szCs w:val="20"/>
                <w:lang w:val="ro-RO"/>
              </w:rPr>
              <w:t>Necompatibil</w:t>
            </w:r>
          </w:p>
        </w:tc>
        <w:tc>
          <w:tcPr>
            <w:tcW w:w="2223" w:type="dxa"/>
          </w:tcPr>
          <w:p w14:paraId="4876FBC0" w14:textId="0559D20A" w:rsidR="00EF49B2" w:rsidRPr="00BF7956" w:rsidRDefault="00101940" w:rsidP="00101940">
            <w:pPr>
              <w:rPr>
                <w:sz w:val="20"/>
                <w:szCs w:val="20"/>
                <w:lang w:val="ro-RO"/>
              </w:rPr>
            </w:pPr>
            <w:r w:rsidRPr="008E3BA7">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17A4DEC7" w14:textId="77777777" w:rsidR="00EF49B2" w:rsidRPr="00BF7956" w:rsidRDefault="00EF49B2" w:rsidP="008E3BA7">
            <w:pPr>
              <w:jc w:val="both"/>
              <w:rPr>
                <w:sz w:val="20"/>
                <w:szCs w:val="20"/>
                <w:lang w:val="ro-RO"/>
              </w:rPr>
            </w:pPr>
          </w:p>
        </w:tc>
        <w:tc>
          <w:tcPr>
            <w:tcW w:w="992" w:type="dxa"/>
          </w:tcPr>
          <w:p w14:paraId="2B032C98" w14:textId="77777777" w:rsidR="00EF49B2" w:rsidRPr="00BF7956" w:rsidRDefault="00EF49B2" w:rsidP="008E3BA7">
            <w:pPr>
              <w:jc w:val="both"/>
              <w:rPr>
                <w:sz w:val="20"/>
                <w:szCs w:val="20"/>
                <w:lang w:val="ro-RO"/>
              </w:rPr>
            </w:pPr>
          </w:p>
        </w:tc>
      </w:tr>
      <w:tr w:rsidR="008E3BA7" w:rsidRPr="00BF7956" w14:paraId="6303A4FC"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336B8A9D" w14:textId="77777777" w:rsidTr="00121113">
              <w:tc>
                <w:tcPr>
                  <w:tcW w:w="860" w:type="dxa"/>
                </w:tcPr>
                <w:p w14:paraId="1108DB5C" w14:textId="641C4F62"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lang w:val="ro-RO"/>
                    </w:rPr>
                    <w:t>0</w:t>
                  </w:r>
                  <w:r w:rsidR="008E3BA7" w:rsidRPr="00BF7956">
                    <w:rPr>
                      <w:color w:val="000000"/>
                      <w:sz w:val="20"/>
                      <w:szCs w:val="20"/>
                      <w:lang w:val="ro-RO"/>
                    </w:rPr>
                    <w:t>6</w:t>
                  </w:r>
                  <w:r w:rsidR="008E3BA7" w:rsidRPr="00BF7956">
                    <w:rPr>
                      <w:color w:val="000000"/>
                      <w:sz w:val="20"/>
                      <w:szCs w:val="20"/>
                    </w:rPr>
                    <w:t>30</w:t>
                  </w:r>
                </w:p>
              </w:tc>
              <w:tc>
                <w:tcPr>
                  <w:tcW w:w="3539" w:type="dxa"/>
                </w:tcPr>
                <w:p w14:paraId="695AD08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2.2.4</w:t>
                  </w:r>
                  <w:r w:rsidRPr="00BF7956">
                    <w:rPr>
                      <w:color w:val="000000"/>
                      <w:sz w:val="20"/>
                      <w:szCs w:val="20"/>
                    </w:rPr>
                    <w:t xml:space="preserve"> </w:t>
                  </w:r>
                  <w:r w:rsidRPr="00BF7956">
                    <w:rPr>
                      <w:b/>
                      <w:bCs/>
                      <w:color w:val="000000"/>
                      <w:sz w:val="20"/>
                      <w:szCs w:val="20"/>
                    </w:rPr>
                    <w:t xml:space="preserve">Altor clienţi financiari </w:t>
                  </w:r>
                </w:p>
                <w:p w14:paraId="1BD41D0F" w14:textId="15B37F71" w:rsidR="008E3BA7" w:rsidRPr="00BF7956" w:rsidRDefault="00EF49B2" w:rsidP="00EF49B2">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2.2 care provin de la clienţi financiari în conformitate cu articolul 411 alineatul (1) din Regulamentul (UE) nr. 575/2013, altele decât cele raportate la punctul 2.2.3.</w:t>
                  </w:r>
                </w:p>
              </w:tc>
            </w:tr>
          </w:tbl>
          <w:p w14:paraId="0C2F542E"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065209A7" w14:textId="77777777" w:rsidTr="00144513">
              <w:tc>
                <w:tcPr>
                  <w:tcW w:w="860" w:type="dxa"/>
                </w:tcPr>
                <w:p w14:paraId="15A20787" w14:textId="49A2A86E" w:rsidR="008E3BA7" w:rsidRPr="00BF7956" w:rsidRDefault="00F40F2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lang w:val="ro-RO"/>
                    </w:rPr>
                    <w:t>0</w:t>
                  </w:r>
                  <w:r w:rsidR="008E3BA7" w:rsidRPr="00BF7956">
                    <w:rPr>
                      <w:color w:val="000000"/>
                      <w:sz w:val="20"/>
                      <w:szCs w:val="20"/>
                      <w:lang w:val="ro-RO"/>
                    </w:rPr>
                    <w:t>6</w:t>
                  </w:r>
                  <w:r w:rsidR="008E3BA7" w:rsidRPr="00BF7956">
                    <w:rPr>
                      <w:color w:val="000000"/>
                      <w:sz w:val="20"/>
                      <w:szCs w:val="20"/>
                    </w:rPr>
                    <w:t>30</w:t>
                  </w:r>
                </w:p>
              </w:tc>
              <w:tc>
                <w:tcPr>
                  <w:tcW w:w="3539" w:type="dxa"/>
                </w:tcPr>
                <w:p w14:paraId="0407701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2.2.4</w:t>
                  </w:r>
                  <w:r w:rsidRPr="00BF7956">
                    <w:rPr>
                      <w:color w:val="000000"/>
                      <w:sz w:val="20"/>
                      <w:szCs w:val="20"/>
                    </w:rPr>
                    <w:t xml:space="preserve"> </w:t>
                  </w:r>
                  <w:r w:rsidRPr="00BF7956">
                    <w:rPr>
                      <w:b/>
                      <w:bCs/>
                      <w:color w:val="000000"/>
                      <w:sz w:val="20"/>
                      <w:szCs w:val="20"/>
                    </w:rPr>
                    <w:t xml:space="preserve">Altor clienţi financiari </w:t>
                  </w:r>
                </w:p>
                <w:p w14:paraId="00FD0915" w14:textId="34E81098" w:rsidR="008E3BA7" w:rsidRPr="00BF7956" w:rsidRDefault="00F40F2E"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Cuantumul intrărilor de numerar raportate la punctul 2.2, provenite de la clienți financiari în conformitate cu punctul 5 subpunctul 3) din Regulamentul nr.44/2020 privind cerinţele de acoperire a necesarului de lichiditate pentru bănci, altele decât cele raportate la punctul 2.2.3.</w:t>
                  </w:r>
                </w:p>
              </w:tc>
            </w:tr>
          </w:tbl>
          <w:p w14:paraId="0EBD148C"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06C9FC4E" w14:textId="5CE4E81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DE0EDB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90C53DC" w14:textId="77777777" w:rsidR="008E3BA7" w:rsidRPr="00BF7956" w:rsidRDefault="008E3BA7" w:rsidP="008E3BA7">
            <w:pPr>
              <w:jc w:val="both"/>
              <w:rPr>
                <w:sz w:val="20"/>
                <w:szCs w:val="20"/>
                <w:lang w:val="ro-RO"/>
              </w:rPr>
            </w:pPr>
          </w:p>
        </w:tc>
        <w:tc>
          <w:tcPr>
            <w:tcW w:w="992" w:type="dxa"/>
          </w:tcPr>
          <w:p w14:paraId="38F9D240" w14:textId="77777777" w:rsidR="008E3BA7" w:rsidRPr="00BF7956" w:rsidRDefault="008E3BA7" w:rsidP="008E3BA7">
            <w:pPr>
              <w:jc w:val="both"/>
              <w:rPr>
                <w:sz w:val="20"/>
                <w:szCs w:val="20"/>
                <w:lang w:val="ro-RO"/>
              </w:rPr>
            </w:pPr>
          </w:p>
        </w:tc>
      </w:tr>
      <w:tr w:rsidR="008E3BA7" w:rsidRPr="00BF7956" w14:paraId="60C5C9D0" w14:textId="77777777" w:rsidTr="00C25F84">
        <w:tc>
          <w:tcPr>
            <w:tcW w:w="4576" w:type="dxa"/>
          </w:tcPr>
          <w:tbl>
            <w:tblPr>
              <w:tblStyle w:val="TableGrid"/>
              <w:tblW w:w="4411" w:type="dxa"/>
              <w:tblLayout w:type="fixed"/>
              <w:tblLook w:val="04A0" w:firstRow="1" w:lastRow="0" w:firstColumn="1" w:lastColumn="0" w:noHBand="0" w:noVBand="1"/>
            </w:tblPr>
            <w:tblGrid>
              <w:gridCol w:w="868"/>
              <w:gridCol w:w="3543"/>
            </w:tblGrid>
            <w:tr w:rsidR="008E3BA7" w:rsidRPr="002C43F1" w14:paraId="16DC36F9" w14:textId="77777777" w:rsidTr="00121113">
              <w:tc>
                <w:tcPr>
                  <w:tcW w:w="868" w:type="dxa"/>
                </w:tcPr>
                <w:p w14:paraId="3FB16B6C" w14:textId="222CCAB3" w:rsidR="008E3BA7" w:rsidRPr="00BF7956" w:rsidRDefault="00EF49B2" w:rsidP="008E3BA7">
                  <w:pPr>
                    <w:pStyle w:val="CM4"/>
                    <w:framePr w:hSpace="180" w:wrap="around" w:vAnchor="text" w:hAnchor="margin" w:y="137"/>
                    <w:spacing w:before="60" w:after="60"/>
                    <w:ind w:left="456" w:hanging="456"/>
                    <w:rPr>
                      <w:i/>
                      <w:iCs/>
                      <w:color w:val="000000"/>
                      <w:sz w:val="20"/>
                      <w:szCs w:val="20"/>
                      <w:lang w:val="ro-RO"/>
                    </w:rPr>
                  </w:pPr>
                  <w:r w:rsidRPr="00BF7956">
                    <w:rPr>
                      <w:color w:val="000000"/>
                      <w:sz w:val="20"/>
                      <w:szCs w:val="20"/>
                    </w:rPr>
                    <w:t>0</w:t>
                  </w:r>
                  <w:r w:rsidR="008E3BA7" w:rsidRPr="00BF7956">
                    <w:rPr>
                      <w:color w:val="000000"/>
                      <w:sz w:val="20"/>
                      <w:szCs w:val="20"/>
                    </w:rPr>
                    <w:t>640</w:t>
                  </w:r>
                </w:p>
              </w:tc>
              <w:tc>
                <w:tcPr>
                  <w:tcW w:w="3543" w:type="dxa"/>
                </w:tcPr>
                <w:p w14:paraId="02AEA20E" w14:textId="77777777" w:rsidR="008E3BA7" w:rsidRPr="00BF7956" w:rsidRDefault="008E3BA7" w:rsidP="008E3BA7">
                  <w:pPr>
                    <w:pStyle w:val="CM4"/>
                    <w:framePr w:hSpace="180" w:wrap="around" w:vAnchor="text" w:hAnchor="margin" w:y="137"/>
                    <w:spacing w:before="60" w:after="60"/>
                    <w:ind w:left="456" w:hanging="456"/>
                    <w:rPr>
                      <w:b/>
                      <w:bCs/>
                      <w:color w:val="000000"/>
                      <w:sz w:val="20"/>
                      <w:szCs w:val="20"/>
                    </w:rPr>
                  </w:pPr>
                  <w:r w:rsidRPr="00101940">
                    <w:rPr>
                      <w:b/>
                      <w:bCs/>
                      <w:color w:val="000000"/>
                      <w:sz w:val="20"/>
                      <w:szCs w:val="20"/>
                    </w:rPr>
                    <w:t>2.2.5</w:t>
                  </w:r>
                  <w:r w:rsidRPr="00BF7956">
                    <w:rPr>
                      <w:color w:val="000000"/>
                      <w:sz w:val="20"/>
                      <w:szCs w:val="20"/>
                    </w:rPr>
                    <w:t xml:space="preserve"> </w:t>
                  </w:r>
                  <w:r w:rsidRPr="00BF7956">
                    <w:rPr>
                      <w:b/>
                      <w:bCs/>
                      <w:color w:val="000000"/>
                      <w:sz w:val="20"/>
                      <w:szCs w:val="20"/>
                    </w:rPr>
                    <w:t xml:space="preserve">Băncilor centrale </w:t>
                  </w:r>
                </w:p>
                <w:p w14:paraId="1472E587" w14:textId="35A110D1" w:rsidR="008E3BA7" w:rsidRPr="00BF7956" w:rsidRDefault="00EF49B2" w:rsidP="008E3BA7">
                  <w:pPr>
                    <w:pStyle w:val="CM4"/>
                    <w:framePr w:hSpace="180" w:wrap="around" w:vAnchor="text" w:hAnchor="margin" w:y="137"/>
                    <w:spacing w:before="60" w:after="60"/>
                    <w:ind w:left="19" w:hanging="19"/>
                    <w:rPr>
                      <w:color w:val="000000"/>
                      <w:sz w:val="20"/>
                      <w:szCs w:val="20"/>
                    </w:rPr>
                  </w:pPr>
                  <w:r w:rsidRPr="00BF7956">
                    <w:rPr>
                      <w:color w:val="000000"/>
                      <w:sz w:val="20"/>
                      <w:szCs w:val="20"/>
                    </w:rPr>
                    <w:t>Cuantumul intrărilor de numerar raportate la punctul 2.2 care provin de la bănci centrale. Acest punct nu include rezervele de numerar care pot fi retrase raportate la punctul 3.2.</w:t>
                  </w:r>
                </w:p>
              </w:tc>
            </w:tr>
          </w:tbl>
          <w:p w14:paraId="244DDCAE"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411" w:type="dxa"/>
              <w:tblLayout w:type="fixed"/>
              <w:tblLook w:val="04A0" w:firstRow="1" w:lastRow="0" w:firstColumn="1" w:lastColumn="0" w:noHBand="0" w:noVBand="1"/>
            </w:tblPr>
            <w:tblGrid>
              <w:gridCol w:w="868"/>
              <w:gridCol w:w="3543"/>
            </w:tblGrid>
            <w:tr w:rsidR="008E3BA7" w:rsidRPr="002C43F1" w14:paraId="1F8E2310" w14:textId="77777777" w:rsidTr="00144513">
              <w:tc>
                <w:tcPr>
                  <w:tcW w:w="868" w:type="dxa"/>
                </w:tcPr>
                <w:p w14:paraId="10E21D2B" w14:textId="00245DF4" w:rsidR="008E3BA7" w:rsidRPr="00BF7956" w:rsidRDefault="00F40F2E" w:rsidP="008E3BA7">
                  <w:pPr>
                    <w:pStyle w:val="CM4"/>
                    <w:framePr w:hSpace="180" w:wrap="around" w:vAnchor="text" w:hAnchor="margin" w:y="137"/>
                    <w:spacing w:before="60" w:after="60"/>
                    <w:ind w:left="456" w:hanging="456"/>
                    <w:rPr>
                      <w:i/>
                      <w:iCs/>
                      <w:color w:val="000000"/>
                      <w:sz w:val="20"/>
                      <w:szCs w:val="20"/>
                      <w:lang w:val="ro-RO"/>
                    </w:rPr>
                  </w:pPr>
                  <w:r w:rsidRPr="00BF7956">
                    <w:rPr>
                      <w:color w:val="000000"/>
                      <w:sz w:val="20"/>
                      <w:szCs w:val="20"/>
                    </w:rPr>
                    <w:t>0</w:t>
                  </w:r>
                  <w:r w:rsidR="008E3BA7" w:rsidRPr="00BF7956">
                    <w:rPr>
                      <w:color w:val="000000"/>
                      <w:sz w:val="20"/>
                      <w:szCs w:val="20"/>
                    </w:rPr>
                    <w:t>640</w:t>
                  </w:r>
                </w:p>
              </w:tc>
              <w:tc>
                <w:tcPr>
                  <w:tcW w:w="3543" w:type="dxa"/>
                </w:tcPr>
                <w:p w14:paraId="4490E61A" w14:textId="77777777" w:rsidR="00F40F2E" w:rsidRPr="00BF7956" w:rsidRDefault="00F40F2E" w:rsidP="00F40F2E">
                  <w:pPr>
                    <w:pStyle w:val="CM4"/>
                    <w:framePr w:hSpace="180" w:wrap="around" w:vAnchor="text" w:hAnchor="margin" w:y="137"/>
                    <w:spacing w:before="60" w:after="60"/>
                    <w:ind w:left="456" w:hanging="456"/>
                    <w:rPr>
                      <w:color w:val="000000"/>
                      <w:sz w:val="20"/>
                      <w:szCs w:val="20"/>
                    </w:rPr>
                  </w:pPr>
                  <w:r w:rsidRPr="00101940">
                    <w:rPr>
                      <w:b/>
                      <w:bCs/>
                      <w:color w:val="000000"/>
                      <w:sz w:val="20"/>
                      <w:szCs w:val="20"/>
                    </w:rPr>
                    <w:t>2.2.5</w:t>
                  </w:r>
                  <w:r w:rsidRPr="00BF7956">
                    <w:rPr>
                      <w:color w:val="000000"/>
                      <w:sz w:val="20"/>
                      <w:szCs w:val="20"/>
                    </w:rPr>
                    <w:t xml:space="preserve"> </w:t>
                  </w:r>
                  <w:r w:rsidRPr="00BF7956">
                    <w:rPr>
                      <w:b/>
                      <w:bCs/>
                      <w:color w:val="000000"/>
                      <w:sz w:val="20"/>
                      <w:szCs w:val="20"/>
                    </w:rPr>
                    <w:t>Băncilor centrale</w:t>
                  </w:r>
                </w:p>
                <w:p w14:paraId="4D85C2C7" w14:textId="05D85621" w:rsidR="008E3BA7" w:rsidRPr="00BF7956" w:rsidRDefault="00F40F2E" w:rsidP="00F40F2E">
                  <w:pPr>
                    <w:pStyle w:val="CM4"/>
                    <w:framePr w:hSpace="180" w:wrap="around" w:vAnchor="text" w:hAnchor="margin" w:y="137"/>
                    <w:spacing w:before="60" w:after="60"/>
                    <w:ind w:left="19" w:hanging="19"/>
                    <w:rPr>
                      <w:color w:val="000000"/>
                      <w:sz w:val="20"/>
                      <w:szCs w:val="20"/>
                    </w:rPr>
                  </w:pPr>
                  <w:r w:rsidRPr="00BF7956">
                    <w:rPr>
                      <w:color w:val="000000"/>
                      <w:sz w:val="20"/>
                      <w:szCs w:val="20"/>
                    </w:rPr>
                    <w:t>Cuantumul intrărilor de numerar raportate la punctul 2.2 care provin de la bănci centrale. Acest punct nu include rezervele de numerar care pot fi retrase raportate la punctul 3.2.</w:t>
                  </w:r>
                </w:p>
              </w:tc>
            </w:tr>
          </w:tbl>
          <w:p w14:paraId="5A17CAD0"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DCC71F7" w14:textId="00C3ED1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73CF9D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94A1A54" w14:textId="77777777" w:rsidR="008E3BA7" w:rsidRPr="00BF7956" w:rsidRDefault="008E3BA7" w:rsidP="008E3BA7">
            <w:pPr>
              <w:jc w:val="both"/>
              <w:rPr>
                <w:sz w:val="20"/>
                <w:szCs w:val="20"/>
                <w:lang w:val="ro-RO"/>
              </w:rPr>
            </w:pPr>
          </w:p>
        </w:tc>
        <w:tc>
          <w:tcPr>
            <w:tcW w:w="992" w:type="dxa"/>
          </w:tcPr>
          <w:p w14:paraId="3AE0E534" w14:textId="77777777" w:rsidR="008E3BA7" w:rsidRPr="00BF7956" w:rsidRDefault="008E3BA7" w:rsidP="008E3BA7">
            <w:pPr>
              <w:jc w:val="both"/>
              <w:rPr>
                <w:sz w:val="20"/>
                <w:szCs w:val="20"/>
                <w:lang w:val="ro-RO"/>
              </w:rPr>
            </w:pPr>
          </w:p>
        </w:tc>
      </w:tr>
      <w:tr w:rsidR="008E3BA7" w:rsidRPr="00BF7956" w14:paraId="5F1EFACC"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0006D0AB" w14:textId="77777777" w:rsidTr="002E0F83">
              <w:tc>
                <w:tcPr>
                  <w:tcW w:w="860" w:type="dxa"/>
                </w:tcPr>
                <w:p w14:paraId="1935BA83" w14:textId="7F0EE3A3"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650</w:t>
                  </w:r>
                </w:p>
              </w:tc>
              <w:tc>
                <w:tcPr>
                  <w:tcW w:w="3539" w:type="dxa"/>
                </w:tcPr>
                <w:p w14:paraId="2A7AB87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2.2.6</w:t>
                  </w:r>
                  <w:r w:rsidRPr="00BF7956">
                    <w:rPr>
                      <w:color w:val="000000"/>
                      <w:sz w:val="20"/>
                      <w:szCs w:val="20"/>
                    </w:rPr>
                    <w:t xml:space="preserve"> </w:t>
                  </w:r>
                  <w:r w:rsidRPr="00BF7956">
                    <w:rPr>
                      <w:b/>
                      <w:bCs/>
                      <w:color w:val="000000"/>
                      <w:sz w:val="20"/>
                      <w:szCs w:val="20"/>
                    </w:rPr>
                    <w:t xml:space="preserve">Altor contrapărţi </w:t>
                  </w:r>
                </w:p>
                <w:p w14:paraId="3D40F514" w14:textId="218A3672" w:rsidR="008E3BA7" w:rsidRPr="00BF7956" w:rsidRDefault="00EF49B2"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de numerar raportate la punctul 2.2 care provin de la alte contrapărţi nespecificate la punctele 2.2.1-2.2.5.</w:t>
                  </w:r>
                </w:p>
              </w:tc>
            </w:tr>
          </w:tbl>
          <w:p w14:paraId="5ADB4D2F"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62314808" w14:textId="77777777" w:rsidTr="00144513">
              <w:tc>
                <w:tcPr>
                  <w:tcW w:w="860" w:type="dxa"/>
                </w:tcPr>
                <w:p w14:paraId="40262051" w14:textId="576CEBEE" w:rsidR="008E3BA7" w:rsidRPr="00BF7956" w:rsidRDefault="00F40F2E"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650</w:t>
                  </w:r>
                </w:p>
              </w:tc>
              <w:tc>
                <w:tcPr>
                  <w:tcW w:w="3539" w:type="dxa"/>
                </w:tcPr>
                <w:p w14:paraId="11B2A65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2.2.6</w:t>
                  </w:r>
                  <w:r w:rsidRPr="00BF7956">
                    <w:rPr>
                      <w:color w:val="000000"/>
                      <w:sz w:val="20"/>
                      <w:szCs w:val="20"/>
                    </w:rPr>
                    <w:t xml:space="preserve"> </w:t>
                  </w:r>
                  <w:r w:rsidRPr="00BF7956">
                    <w:rPr>
                      <w:b/>
                      <w:bCs/>
                      <w:color w:val="000000"/>
                      <w:sz w:val="20"/>
                      <w:szCs w:val="20"/>
                    </w:rPr>
                    <w:t xml:space="preserve">Altor contrapărţi </w:t>
                  </w:r>
                </w:p>
                <w:p w14:paraId="0DA3DBBB" w14:textId="1C294094"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intrărilor de numerar raportate </w:t>
                  </w:r>
                  <w:r w:rsidR="00F40F2E" w:rsidRPr="00BF7956">
                    <w:rPr>
                      <w:sz w:val="20"/>
                      <w:szCs w:val="20"/>
                    </w:rPr>
                    <w:t xml:space="preserve"> </w:t>
                  </w:r>
                  <w:r w:rsidR="00F40F2E" w:rsidRPr="00BF7956">
                    <w:rPr>
                      <w:color w:val="000000"/>
                      <w:sz w:val="20"/>
                      <w:szCs w:val="20"/>
                    </w:rPr>
                    <w:t xml:space="preserve">la punctul 2.2 </w:t>
                  </w:r>
                  <w:r w:rsidRPr="00BF7956">
                    <w:rPr>
                      <w:color w:val="000000"/>
                      <w:sz w:val="20"/>
                      <w:szCs w:val="20"/>
                    </w:rPr>
                    <w:t xml:space="preserve">care provin de </w:t>
                  </w:r>
                  <w:r w:rsidR="00817FE6">
                    <w:rPr>
                      <w:color w:val="000000"/>
                      <w:sz w:val="20"/>
                      <w:szCs w:val="20"/>
                    </w:rPr>
                    <w:t xml:space="preserve">la </w:t>
                  </w:r>
                  <w:r w:rsidRPr="00BF7956">
                    <w:rPr>
                      <w:color w:val="000000"/>
                      <w:sz w:val="20"/>
                      <w:szCs w:val="20"/>
                    </w:rPr>
                    <w:t>alte contrapărţi nespecificate la punctele 2.2.1-2.2.5.</w:t>
                  </w:r>
                </w:p>
              </w:tc>
            </w:tr>
          </w:tbl>
          <w:p w14:paraId="2A2CF837"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A3B1E4A" w14:textId="3CF2DAD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905BB3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BEC5858" w14:textId="77777777" w:rsidR="008E3BA7" w:rsidRPr="00BF7956" w:rsidRDefault="008E3BA7" w:rsidP="008E3BA7">
            <w:pPr>
              <w:jc w:val="both"/>
              <w:rPr>
                <w:sz w:val="20"/>
                <w:szCs w:val="20"/>
                <w:lang w:val="ro-RO"/>
              </w:rPr>
            </w:pPr>
          </w:p>
        </w:tc>
        <w:tc>
          <w:tcPr>
            <w:tcW w:w="992" w:type="dxa"/>
          </w:tcPr>
          <w:p w14:paraId="5505EB41" w14:textId="77777777" w:rsidR="008E3BA7" w:rsidRPr="00BF7956" w:rsidRDefault="008E3BA7" w:rsidP="008E3BA7">
            <w:pPr>
              <w:jc w:val="both"/>
              <w:rPr>
                <w:sz w:val="20"/>
                <w:szCs w:val="20"/>
                <w:lang w:val="ro-RO"/>
              </w:rPr>
            </w:pPr>
          </w:p>
        </w:tc>
      </w:tr>
      <w:tr w:rsidR="008E3BA7" w:rsidRPr="00BF7956" w14:paraId="4805ADB7"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19662A38" w14:textId="77777777" w:rsidTr="002E0F83">
              <w:tc>
                <w:tcPr>
                  <w:tcW w:w="860" w:type="dxa"/>
                </w:tcPr>
                <w:p w14:paraId="207FDFC7" w14:textId="4E576DB5"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660</w:t>
                  </w:r>
                </w:p>
              </w:tc>
              <w:tc>
                <w:tcPr>
                  <w:tcW w:w="3539" w:type="dxa"/>
                </w:tcPr>
                <w:p w14:paraId="7AA41CD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2.3</w:t>
                  </w:r>
                  <w:r w:rsidRPr="00BF7956">
                    <w:rPr>
                      <w:color w:val="000000"/>
                      <w:sz w:val="20"/>
                      <w:szCs w:val="20"/>
                    </w:rPr>
                    <w:t xml:space="preserve"> </w:t>
                  </w:r>
                  <w:r w:rsidRPr="00BF7956">
                    <w:rPr>
                      <w:b/>
                      <w:bCs/>
                      <w:color w:val="000000"/>
                      <w:sz w:val="20"/>
                      <w:szCs w:val="20"/>
                    </w:rPr>
                    <w:t xml:space="preserve">Swap-uri valutare care ajung la scadenţă </w:t>
                  </w:r>
                </w:p>
                <w:p w14:paraId="64B89CD9" w14:textId="03915CDC"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Cuantumul total al intrărilor de numerar contractuale generate de ajungerea la scadenţă a operaţiunilor de swap valutar, precum schimbul valutar aferent cuantumurilor principalului la sfârșitul contractului. Acest lucru reflectă valoarea noţională scadentă a swap-urilor valutare încrucișate, a operaţiunilor de schimb valutar la vedere și a tranzacţiilor valutare la termen în tranșele de timp aplicabile din formular.</w:t>
                  </w:r>
                </w:p>
              </w:tc>
            </w:tr>
          </w:tbl>
          <w:p w14:paraId="6168F2DE"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7A714330" w14:textId="77777777" w:rsidTr="00144513">
              <w:tc>
                <w:tcPr>
                  <w:tcW w:w="860" w:type="dxa"/>
                </w:tcPr>
                <w:p w14:paraId="1B27F494" w14:textId="47DC0A0E" w:rsidR="008E3BA7" w:rsidRPr="00BF7956" w:rsidRDefault="00A9484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660</w:t>
                  </w:r>
                </w:p>
              </w:tc>
              <w:tc>
                <w:tcPr>
                  <w:tcW w:w="3539" w:type="dxa"/>
                </w:tcPr>
                <w:p w14:paraId="66DE7F52"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2.3</w:t>
                  </w:r>
                  <w:r w:rsidRPr="00BF7956">
                    <w:rPr>
                      <w:color w:val="000000"/>
                      <w:sz w:val="20"/>
                      <w:szCs w:val="20"/>
                    </w:rPr>
                    <w:t xml:space="preserve"> </w:t>
                  </w:r>
                  <w:r w:rsidRPr="00BF7956">
                    <w:rPr>
                      <w:b/>
                      <w:bCs/>
                      <w:color w:val="000000"/>
                      <w:sz w:val="20"/>
                      <w:szCs w:val="20"/>
                    </w:rPr>
                    <w:t xml:space="preserve">Swap-uri valutare care ajung la scadenţă </w:t>
                  </w:r>
                </w:p>
                <w:p w14:paraId="7F2B5D2F" w14:textId="77777777" w:rsidR="00A9484F"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total al intrărilor de numerar contractuale generate de ajungerea la scadenţă a operaţiunilor de swap valutar, precum schimbul valutar aferent cuantumurilor principalului la sfârșitul contractului. </w:t>
                  </w:r>
                </w:p>
                <w:p w14:paraId="00C7576B" w14:textId="5F7AA57C"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Acest lucru reflectă valoarea noţională scadentă a swap-urilor valutare încrucișate, a operaţiunilor de schimb valutar la vedere și a tranzacţiilor valutare la termen în tranșele de timp aplicabile din formular.</w:t>
                  </w:r>
                </w:p>
              </w:tc>
            </w:tr>
          </w:tbl>
          <w:p w14:paraId="123A1202"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8D184A8" w14:textId="59BF3E0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8DB082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5D3D7CC" w14:textId="77777777" w:rsidR="008E3BA7" w:rsidRPr="00BF7956" w:rsidRDefault="008E3BA7" w:rsidP="008E3BA7">
            <w:pPr>
              <w:jc w:val="both"/>
              <w:rPr>
                <w:sz w:val="20"/>
                <w:szCs w:val="20"/>
                <w:lang w:val="ro-RO"/>
              </w:rPr>
            </w:pPr>
          </w:p>
        </w:tc>
        <w:tc>
          <w:tcPr>
            <w:tcW w:w="992" w:type="dxa"/>
          </w:tcPr>
          <w:p w14:paraId="2B0A5FB0" w14:textId="77777777" w:rsidR="008E3BA7" w:rsidRPr="00BF7956" w:rsidRDefault="008E3BA7" w:rsidP="008E3BA7">
            <w:pPr>
              <w:jc w:val="both"/>
              <w:rPr>
                <w:sz w:val="20"/>
                <w:szCs w:val="20"/>
                <w:lang w:val="ro-RO"/>
              </w:rPr>
            </w:pPr>
          </w:p>
        </w:tc>
      </w:tr>
      <w:tr w:rsidR="008E3BA7" w:rsidRPr="00BF7956" w14:paraId="7B187759" w14:textId="77777777" w:rsidTr="00C25F84">
        <w:tc>
          <w:tcPr>
            <w:tcW w:w="4576" w:type="dxa"/>
          </w:tcPr>
          <w:tbl>
            <w:tblPr>
              <w:tblStyle w:val="TableGrid"/>
              <w:tblW w:w="4392" w:type="dxa"/>
              <w:tblLayout w:type="fixed"/>
              <w:tblLook w:val="04A0" w:firstRow="1" w:lastRow="0" w:firstColumn="1" w:lastColumn="0" w:noHBand="0" w:noVBand="1"/>
            </w:tblPr>
            <w:tblGrid>
              <w:gridCol w:w="868"/>
              <w:gridCol w:w="3524"/>
            </w:tblGrid>
            <w:tr w:rsidR="008E3BA7" w:rsidRPr="002C43F1" w14:paraId="55C5B679" w14:textId="77777777" w:rsidTr="002E0F83">
              <w:tc>
                <w:tcPr>
                  <w:tcW w:w="868" w:type="dxa"/>
                </w:tcPr>
                <w:p w14:paraId="7F6E63B5" w14:textId="0B189EBC" w:rsidR="008E3BA7" w:rsidRPr="00BF7956" w:rsidRDefault="00EF49B2"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670</w:t>
                  </w:r>
                </w:p>
              </w:tc>
              <w:tc>
                <w:tcPr>
                  <w:tcW w:w="3524" w:type="dxa"/>
                </w:tcPr>
                <w:p w14:paraId="7546349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w:t>
                  </w:r>
                  <w:r w:rsidRPr="00101940">
                    <w:rPr>
                      <w:color w:val="000000"/>
                      <w:sz w:val="20"/>
                      <w:szCs w:val="20"/>
                    </w:rPr>
                    <w:t>4.</w:t>
                  </w:r>
                  <w:r w:rsidRPr="00BF7956">
                    <w:rPr>
                      <w:color w:val="000000"/>
                      <w:sz w:val="20"/>
                      <w:szCs w:val="20"/>
                    </w:rPr>
                    <w:t xml:space="preserve"> </w:t>
                  </w:r>
                  <w:r w:rsidRPr="00BF7956">
                    <w:rPr>
                      <w:b/>
                      <w:bCs/>
                      <w:color w:val="000000"/>
                      <w:sz w:val="20"/>
                      <w:szCs w:val="20"/>
                    </w:rPr>
                    <w:t xml:space="preserve">Sume de primit aferente instrumentelor financiare derivate, altele decât cele raportate la punctul 2.3. </w:t>
                  </w:r>
                </w:p>
                <w:p w14:paraId="0690EA89" w14:textId="77777777" w:rsidR="008E3BA7" w:rsidRPr="00BF7956" w:rsidRDefault="00EF49B2" w:rsidP="008E3BA7">
                  <w:pPr>
                    <w:pStyle w:val="CM4"/>
                    <w:framePr w:hSpace="180" w:wrap="around" w:vAnchor="text" w:hAnchor="margin" w:y="137"/>
                    <w:spacing w:before="60" w:after="60"/>
                    <w:rPr>
                      <w:color w:val="000000"/>
                      <w:sz w:val="20"/>
                      <w:szCs w:val="20"/>
                    </w:rPr>
                  </w:pPr>
                  <w:r w:rsidRPr="00BF7956">
                    <w:rPr>
                      <w:color w:val="000000"/>
                      <w:sz w:val="20"/>
                      <w:szCs w:val="20"/>
                    </w:rPr>
                    <w:t>Cuantumul total al intrărilor de numerar contractuale generate de poziţiile creditoare aferente instrumentelor financiare derivate din contractele enumerate în anexa II la Regulamentul (UE) nr. 575/2013, cu excepţia intrărilor care rezultă din swap-urile valutare care ajung la scadenţă, care se raportează la punctul 2.3. Cuantumul total trebuie să includă sumele de decontare, inclusiv apelurile în marjă nedecontate la data raportării. Cuantumul total este suma dintre (1) și (2), după cum urmează, în diverse tranșe de timp:</w:t>
                  </w:r>
                </w:p>
                <w:p w14:paraId="08DA3028" w14:textId="77777777" w:rsidR="00EF49B2" w:rsidRPr="00EF49B2" w:rsidRDefault="00EF49B2" w:rsidP="00EF49B2">
                  <w:pPr>
                    <w:framePr w:hSpace="180" w:wrap="around" w:vAnchor="text" w:hAnchor="margin" w:y="137"/>
                    <w:rPr>
                      <w:sz w:val="20"/>
                      <w:szCs w:val="20"/>
                      <w:lang w:val="ro-MD" w:eastAsia="en-US"/>
                    </w:rPr>
                  </w:pPr>
                </w:p>
                <w:p w14:paraId="5CFCA263" w14:textId="77777777" w:rsidR="00B50C85" w:rsidRPr="00BF7956" w:rsidRDefault="00EF49B2" w:rsidP="00EF49B2">
                  <w:pPr>
                    <w:pStyle w:val="ListParagraph"/>
                    <w:framePr w:hSpace="180" w:wrap="around" w:vAnchor="text" w:hAnchor="margin" w:y="137"/>
                    <w:numPr>
                      <w:ilvl w:val="0"/>
                      <w:numId w:val="5"/>
                    </w:numPr>
                    <w:tabs>
                      <w:tab w:val="left" w:pos="302"/>
                    </w:tabs>
                    <w:ind w:left="19" w:firstLine="0"/>
                    <w:rPr>
                      <w:sz w:val="20"/>
                      <w:szCs w:val="20"/>
                      <w:lang w:val="ro-MD" w:eastAsia="en-US"/>
                    </w:rPr>
                  </w:pPr>
                  <w:r w:rsidRPr="00BF7956">
                    <w:rPr>
                      <w:sz w:val="20"/>
                      <w:szCs w:val="20"/>
                      <w:lang w:val="ro-MD" w:eastAsia="en-US"/>
                    </w:rPr>
                    <w:t xml:space="preserve">fluxurile de numerar și de titluri de valoare legate de instrumente financiare derivate pentru care există un acord de garantare care impune garantarea deplină sau adecvată a expunerilor contrapărţii sunt excluse din formularul privind benzile de scadenţă, iar toate fluxurile de numerar, de titluri de valoare, de garanţii reale sub formă de numerar și de garanţii reale sub formă de titluri de valoare legate de instrumentele financiare derivate respective sunt excluse din formular. Excluderea nu se aplică pentru următoarele: </w:t>
                  </w:r>
                </w:p>
                <w:p w14:paraId="74CD4E22" w14:textId="77777777" w:rsidR="00B50C85"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 xml:space="preserve">(a) activele eligibile pentru CBC care au fost deja primite sau furnizate în contextul garantării instrumentelor financiare derivate la data de referinţă a raportării (și anume în coloana „Stoc” din secţiunea 3 a formularului privind benzile de scadenţă, dacă nu sunt grevate de sarcini și sunt disponibile pentru a fi grevate de sarcini); </w:t>
                  </w:r>
                </w:p>
                <w:p w14:paraId="1946B855" w14:textId="77777777" w:rsidR="00B50C85"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 xml:space="preserve">(b) fluxurile de numerar și de titluri de valoare în contextul apelurilor în marjă („fluxuri de garanţii sub formă de numerar sau de titluri de valoare”) care trebuie plătite în timp util, dar nu au fost încă decontate. Acestea trebuie să se reflecte la punctele 1.5 „Ieșiri de numerar aferente instrumentelor financiare derivate” și 2.4 „Intrări de numerar aferente instrumentelor financiare derivate” în cazul garanţiilor reale sub formă de numerar, respectiv în secţiunea 3 „Capacitatea de compensare” în cazul garanţiilor reale sub formă de titluri de valoare; </w:t>
                  </w:r>
                </w:p>
                <w:p w14:paraId="14BAA12C" w14:textId="77777777" w:rsidR="00B50C85"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 xml:space="preserve">(c) instrumentele derivate cu decontare cu livrare fizică (de exemplu, contracte forward pentru aur decontate cu livrare fizică) în cazul în care aceste instrumente derivate sunt garantate integral sau adecvat. Pentru aceste instrumente financiare derivate, în plus faţă de literele (a) și (b) de mai sus, se raportează și fluxul de decontare la decontarea finală (în mod normal, în jurul scadenţei). Fluxul de numerar preconizat se include în tranșa de timp corespunzătoare la punctul 1.5 „Ieșiri de numerar aferente instrumentelor financiare derivate” în cazul unei ieșiri de numerar și la punctul 2.4 „Intrări de numerar aferente instrumentelor financiare derivate” în cazul unei intrări de numerar. Dacă activul decontat cu livrare fizică se va califica drept CBC în secţiunea 3, acest flux se include în tranșa de timp corespunzătoare și în rândul corespunzător din această secţiune. Cuantumul este negativ în cazul unei ieșiri și pozitiv în cazul unei intrări. </w:t>
                  </w:r>
                </w:p>
                <w:p w14:paraId="7B383917" w14:textId="77777777" w:rsidR="00B50C85"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 xml:space="preserve">2. în cazul intrărilor și ieșirilor de numerar și de titluri de valoare legate de instrumentele financiare derivate pentru care nu există un acord de garantare sau în cazul în care este necesară doar o garantare parţială, se face o distincţie între contractele cu opţionalitate și celelalte contracte: </w:t>
                  </w:r>
                </w:p>
                <w:p w14:paraId="27C03C07" w14:textId="77777777" w:rsidR="00B50C85"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 xml:space="preserve">(a) fluxurile legate de instrumentele financiare derivate de tip opţiune se includ numai dacă sunt „în bani”. Aceste fluxuri sunt aproximate prin aplicarea ambelor principii următoare: </w:t>
                  </w:r>
                </w:p>
                <w:p w14:paraId="6306281C" w14:textId="77777777" w:rsidR="00B50C85"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 xml:space="preserve">(i) includerea valorii curente de piaţă sau a valorii actualizate nete a contractului ca intrare la punctul 2.4 din formularul privind benzile de scadenţă intitulat „Intrări de numerar aferente instrumentelor financiare derivate” la cea mai îndepărtată dată de exercitare a opţiunii, în cazul în care banca are dreptul de a exercita opţiunea; </w:t>
                  </w:r>
                </w:p>
                <w:p w14:paraId="2BA955D9" w14:textId="14CBA1AD" w:rsidR="00EF49B2" w:rsidRPr="00BF7956" w:rsidRDefault="00EF49B2" w:rsidP="00B50C85">
                  <w:pPr>
                    <w:pStyle w:val="ListParagraph"/>
                    <w:framePr w:hSpace="180" w:wrap="around" w:vAnchor="text" w:hAnchor="margin" w:y="137"/>
                    <w:tabs>
                      <w:tab w:val="left" w:pos="302"/>
                    </w:tabs>
                    <w:ind w:left="19"/>
                    <w:rPr>
                      <w:sz w:val="20"/>
                      <w:szCs w:val="20"/>
                      <w:lang w:val="ro-MD" w:eastAsia="en-US"/>
                    </w:rPr>
                  </w:pPr>
                  <w:r w:rsidRPr="00BF7956">
                    <w:rPr>
                      <w:sz w:val="20"/>
                      <w:szCs w:val="20"/>
                      <w:lang w:val="ro-MD" w:eastAsia="en-US"/>
                    </w:rPr>
                    <w:t>(ii) includerea valorii curente de piaţă sau a valorii actualizate nete a contractului ca ieșire la punctul 1.5 din formularul privind benzile de scadenţă intitulat „Ieșiri de numerar aferente instrumentelor financiare derivate” la cea mai apropiată dată de exercitare a opţiunii, în cazul în care contrapartea băncii are dreptul de a exercita opţiunea;</w:t>
                  </w:r>
                </w:p>
                <w:p w14:paraId="438E3F42" w14:textId="77777777" w:rsidR="00B50C85" w:rsidRPr="00BF7956" w:rsidRDefault="00EF49B2" w:rsidP="00B50C85">
                  <w:pPr>
                    <w:framePr w:hSpace="180" w:wrap="around" w:vAnchor="text" w:hAnchor="margin" w:y="137"/>
                    <w:ind w:left="19"/>
                    <w:rPr>
                      <w:sz w:val="20"/>
                      <w:szCs w:val="20"/>
                      <w:lang w:val="ro-MD" w:eastAsia="en-US"/>
                    </w:rPr>
                  </w:pPr>
                  <w:r w:rsidRPr="00BF7956">
                    <w:rPr>
                      <w:sz w:val="20"/>
                      <w:szCs w:val="20"/>
                      <w:lang w:val="ro-MD" w:eastAsia="en-US"/>
                    </w:rPr>
                    <w:t xml:space="preserve">(b) fluxurile legate de alte contracte decât cele menţionate la litera (a) sunt incluse prin proiecţia fluxurilor de numerar contractuale brute în tranșele de timp respective la punctele 1.5 „Ieșiri de numerar aferente instrumentelor financiare derivative” și 2.4 „Intrări de numerar aferente instrumentelor financiare derivate” și a fluxurilor contractuale de titluri de valoare la secţiunea din formularul privind benzile de scadenţă intitulată „Capacitatea de compensare”, folosind ratele forward implicite de pe piaţa actuală aplicabile la data raportării în cazul în care cuantumurile nu sunt încă stabilite. </w:t>
                  </w:r>
                </w:p>
                <w:p w14:paraId="64055435" w14:textId="77777777" w:rsidR="00B50C85" w:rsidRPr="00BF7956" w:rsidRDefault="00EF49B2" w:rsidP="00B50C85">
                  <w:pPr>
                    <w:framePr w:hSpace="180" w:wrap="around" w:vAnchor="text" w:hAnchor="margin" w:y="137"/>
                    <w:ind w:left="19"/>
                    <w:rPr>
                      <w:sz w:val="20"/>
                      <w:szCs w:val="20"/>
                      <w:lang w:val="ro-MD" w:eastAsia="en-US"/>
                    </w:rPr>
                  </w:pPr>
                  <w:r w:rsidRPr="00BF7956">
                    <w:rPr>
                      <w:sz w:val="20"/>
                      <w:szCs w:val="20"/>
                      <w:lang w:val="ro-MD" w:eastAsia="en-US"/>
                    </w:rPr>
                    <w:t xml:space="preserve">În conformitate cu cele de mai sus: </w:t>
                  </w:r>
                </w:p>
                <w:p w14:paraId="2C20EFD0" w14:textId="77777777" w:rsidR="00B50C85" w:rsidRPr="00BF7956" w:rsidRDefault="00EF49B2" w:rsidP="00B50C85">
                  <w:pPr>
                    <w:framePr w:hSpace="180" w:wrap="around" w:vAnchor="text" w:hAnchor="margin" w:y="137"/>
                    <w:ind w:left="19"/>
                    <w:rPr>
                      <w:sz w:val="20"/>
                      <w:szCs w:val="20"/>
                      <w:lang w:val="ro-MD" w:eastAsia="en-US"/>
                    </w:rPr>
                  </w:pPr>
                  <w:r w:rsidRPr="00BF7956">
                    <w:rPr>
                      <w:sz w:val="20"/>
                      <w:szCs w:val="20"/>
                      <w:lang w:val="ro-MD" w:eastAsia="en-US"/>
                    </w:rPr>
                    <w:t xml:space="preserve">În ceea ce privește instrumentele financiare derivate menţionate la punctul 1, restituirea garanţiilor reale care au fost deja primite sau plătite nu se raportează în formularul privind benzile de scadenţă. </w:t>
                  </w:r>
                </w:p>
                <w:p w14:paraId="487A6C5C" w14:textId="77777777" w:rsidR="00B50C85" w:rsidRPr="00BF7956" w:rsidRDefault="00EF49B2" w:rsidP="00B50C85">
                  <w:pPr>
                    <w:framePr w:hSpace="180" w:wrap="around" w:vAnchor="text" w:hAnchor="margin" w:y="137"/>
                    <w:ind w:left="19"/>
                    <w:rPr>
                      <w:sz w:val="20"/>
                      <w:szCs w:val="20"/>
                      <w:lang w:val="ro-MD" w:eastAsia="en-US"/>
                    </w:rPr>
                  </w:pPr>
                  <w:r w:rsidRPr="00BF7956">
                    <w:rPr>
                      <w:sz w:val="20"/>
                      <w:szCs w:val="20"/>
                      <w:lang w:val="ro-MD" w:eastAsia="en-US"/>
                    </w:rPr>
                    <w:t xml:space="preserve">În ceea ce privește instrumentele financiare derivate menţionate la punctul 2, restituirea garanţiilor reale care au fost deja primite sau plătite se raportează în secţiunea 3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în rândul 1.6 „Alte ieșiri” (rândul 2.6 „Alte intrări”) în tranșa de timp corespunzătoare. </w:t>
                  </w:r>
                </w:p>
                <w:p w14:paraId="48F40DE4" w14:textId="069CCD3E" w:rsidR="00EF49B2" w:rsidRPr="00BF7956" w:rsidRDefault="00EF49B2" w:rsidP="00B50C85">
                  <w:pPr>
                    <w:framePr w:hSpace="180" w:wrap="around" w:vAnchor="text" w:hAnchor="margin" w:y="137"/>
                    <w:ind w:left="19"/>
                    <w:rPr>
                      <w:sz w:val="20"/>
                      <w:szCs w:val="20"/>
                      <w:lang w:val="ro-MD" w:eastAsia="en-US"/>
                    </w:rPr>
                  </w:pPr>
                  <w:r w:rsidRPr="00BF7956">
                    <w:rPr>
                      <w:sz w:val="20"/>
                      <w:szCs w:val="20"/>
                      <w:lang w:val="ro-MD" w:eastAsia="en-US"/>
                    </w:rPr>
                    <w:t>În sensul prezentului rând, o situaţie în care garanţia reală schimbată cu o contraparte nu este perfect egală cu modificările de valoare ale instrumentului financiar derivat este considerată totuși ca fiind garantată adecvat dacă diferenţa nu depășește valoarea minimă de transfer.</w:t>
                  </w:r>
                </w:p>
              </w:tc>
            </w:tr>
          </w:tbl>
          <w:p w14:paraId="467255A6"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72" w:type="dxa"/>
              <w:tblLayout w:type="fixed"/>
              <w:tblLook w:val="04A0" w:firstRow="1" w:lastRow="0" w:firstColumn="1" w:lastColumn="0" w:noHBand="0" w:noVBand="1"/>
            </w:tblPr>
            <w:tblGrid>
              <w:gridCol w:w="868"/>
              <w:gridCol w:w="3504"/>
            </w:tblGrid>
            <w:tr w:rsidR="008E3BA7" w:rsidRPr="002C43F1" w14:paraId="449F3C73" w14:textId="77777777" w:rsidTr="002E0F83">
              <w:tc>
                <w:tcPr>
                  <w:tcW w:w="868" w:type="dxa"/>
                </w:tcPr>
                <w:p w14:paraId="06F60AC5" w14:textId="467E6DE9" w:rsidR="008E3BA7" w:rsidRPr="00BF7956" w:rsidRDefault="00E10A9C"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670</w:t>
                  </w:r>
                </w:p>
              </w:tc>
              <w:tc>
                <w:tcPr>
                  <w:tcW w:w="3504" w:type="dxa"/>
                </w:tcPr>
                <w:p w14:paraId="04987002" w14:textId="77777777" w:rsidR="00E10A9C" w:rsidRPr="00BF7956" w:rsidRDefault="00E10A9C" w:rsidP="00E10A9C">
                  <w:pPr>
                    <w:pStyle w:val="CM4"/>
                    <w:framePr w:hSpace="180" w:wrap="around" w:vAnchor="text" w:hAnchor="margin" w:y="137"/>
                    <w:spacing w:before="60" w:after="60"/>
                    <w:rPr>
                      <w:b/>
                      <w:bCs/>
                      <w:color w:val="000000"/>
                      <w:sz w:val="20"/>
                      <w:szCs w:val="20"/>
                    </w:rPr>
                  </w:pPr>
                  <w:r w:rsidRPr="00BF7956">
                    <w:rPr>
                      <w:b/>
                      <w:bCs/>
                      <w:color w:val="000000"/>
                      <w:sz w:val="20"/>
                      <w:szCs w:val="20"/>
                    </w:rPr>
                    <w:t>2.4. Sume de primit aferente instrumentelor financiare derivate, altele decât cele raportate la punctul 2.3.</w:t>
                  </w:r>
                </w:p>
                <w:p w14:paraId="670DA017" w14:textId="741EA0F4"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 xml:space="preserve">Cuantumul total al intrărilor de numerar contractuale generate de pozițiile creditoare aferente instrumentelor financiare derivate din contractele enumerate în </w:t>
                  </w:r>
                  <w:r w:rsidR="00817FE6">
                    <w:rPr>
                      <w:color w:val="000000"/>
                      <w:sz w:val="20"/>
                      <w:szCs w:val="20"/>
                    </w:rPr>
                    <w:t>a</w:t>
                  </w:r>
                  <w:r w:rsidRPr="00BF7956">
                    <w:rPr>
                      <w:color w:val="000000"/>
                      <w:sz w:val="20"/>
                      <w:szCs w:val="20"/>
                    </w:rPr>
                    <w:t>nexa nr.1 la Regulamentul nr.114/2018 cu privire la tratamentul riscului de piaţă potrivit abordării standardizate, cu excepția intrărilor care rezultă din ajungerea la scadență a swap-urilor valutare, care se raportează la punctul 2.3.</w:t>
                  </w:r>
                </w:p>
                <w:p w14:paraId="10C3885F"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Cuantumul total trebuie să includă sumele de decontare, inclusiv apelurile în marjă nedecontate la data raportării.</w:t>
                  </w:r>
                </w:p>
                <w:p w14:paraId="38535B36"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Cuantumul total este suma dintre (1) și (2), după cum urmează, în diverse tranșe de timp:</w:t>
                  </w:r>
                </w:p>
                <w:p w14:paraId="70DEF105" w14:textId="0E0565CD"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 xml:space="preserve">(1).  fluxurile de numerar și de titluri de valoare legate de instrumente financiare derivate pentru care există un acord de garantare care impune garantarea deplină sau adecvată a expunerilor contrapărții sunt excluse din formularul privind benzile de scadență, iar toate fluxurile de numerar, de titluri de valoare, de garanții reale sub formă de numerar și de garanții reale sub formă de titluri de valoare legate de instrumentele financiare derivate respective sunt excluse din formular. Stocurile de numerar și garanțiile sub formă de titluri de valoare care au fost deja primite sau furnizate în contextul garantării instrumentelor financiare derivate nu trebuie incluse în coloana „Stoc” din secțiunea </w:t>
                  </w:r>
                  <w:r w:rsidR="00817FE6">
                    <w:rPr>
                      <w:color w:val="000000"/>
                      <w:sz w:val="20"/>
                      <w:szCs w:val="20"/>
                    </w:rPr>
                    <w:t xml:space="preserve">a </w:t>
                  </w:r>
                  <w:r w:rsidRPr="00BF7956">
                    <w:rPr>
                      <w:color w:val="000000"/>
                      <w:sz w:val="20"/>
                      <w:szCs w:val="20"/>
                    </w:rPr>
                    <w:t>3</w:t>
                  </w:r>
                  <w:r w:rsidR="00817FE6">
                    <w:rPr>
                      <w:color w:val="000000"/>
                      <w:sz w:val="20"/>
                      <w:szCs w:val="20"/>
                    </w:rPr>
                    <w:t>-a</w:t>
                  </w:r>
                  <w:r w:rsidRPr="00BF7956">
                    <w:rPr>
                      <w:color w:val="000000"/>
                      <w:sz w:val="20"/>
                      <w:szCs w:val="20"/>
                    </w:rPr>
                    <w:t xml:space="preserve"> a formularului privind benzile de scadență, care acoperă capacitatea de compensare, cu excepția fluxurilor de numerar și de titluri de valoare în contextul apelurilor în marjă care trebuie plătite în timp util, dar nu au fost încă decontate. Acestea din urmă trebuie să se reflecte la punctele 1.5 „Sume de plătit aferente instrumentelor financiare derivate, altele decât cele raportate la punctul 1.4” și 2.4 „Sume de primit aferente instrumentelor financiare derivate, altele decât cele raportate la punctul 2.3” în cazul garanțiilor reale sub formă de numerar și în secțiunea</w:t>
                  </w:r>
                  <w:r w:rsidR="00817FE6">
                    <w:rPr>
                      <w:color w:val="000000"/>
                      <w:sz w:val="20"/>
                      <w:szCs w:val="20"/>
                    </w:rPr>
                    <w:t xml:space="preserve"> a</w:t>
                  </w:r>
                  <w:r w:rsidRPr="00BF7956">
                    <w:rPr>
                      <w:color w:val="000000"/>
                      <w:sz w:val="20"/>
                      <w:szCs w:val="20"/>
                    </w:rPr>
                    <w:t xml:space="preserve"> 3</w:t>
                  </w:r>
                  <w:r w:rsidR="00817FE6">
                    <w:rPr>
                      <w:color w:val="000000"/>
                      <w:sz w:val="20"/>
                      <w:szCs w:val="20"/>
                    </w:rPr>
                    <w:t>-a</w:t>
                  </w:r>
                  <w:r w:rsidRPr="00BF7956">
                    <w:rPr>
                      <w:color w:val="000000"/>
                      <w:sz w:val="20"/>
                      <w:szCs w:val="20"/>
                    </w:rPr>
                    <w:t xml:space="preserve"> „Capacitatea de compensare” în cazul garanțiilor sub formă de titluri de valoare din formularul privind benzile</w:t>
                  </w:r>
                  <w:r w:rsidR="00817FE6">
                    <w:rPr>
                      <w:color w:val="000000"/>
                      <w:sz w:val="20"/>
                      <w:szCs w:val="20"/>
                    </w:rPr>
                    <w:t xml:space="preserve"> de</w:t>
                  </w:r>
                  <w:r w:rsidRPr="00BF7956">
                    <w:rPr>
                      <w:color w:val="000000"/>
                      <w:sz w:val="20"/>
                      <w:szCs w:val="20"/>
                    </w:rPr>
                    <w:t xml:space="preserve"> scadență;</w:t>
                  </w:r>
                </w:p>
                <w:p w14:paraId="33D134D1" w14:textId="001F141C"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(2)  în cazul intrărilor și ieșirilor de numerar și de titluri de valoare legate de instrumentele financiare derivate pentru care nu există un acord de garantare sau în cazul în care este necesară doar o garantare parțială, se face o distincție între contractele cu opționalitate și celelalte contracte:</w:t>
                  </w:r>
                </w:p>
                <w:p w14:paraId="7BE41442" w14:textId="72FFAA31"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 xml:space="preserve">(a)  fluxurile legate de instrumentele financiare derivate de tip opțiune se includ numai dacă sunt „în bani”. Aceste fluxuri sunt aproximate prin aplicarea </w:t>
                  </w:r>
                  <w:r w:rsidR="00817FE6">
                    <w:rPr>
                      <w:color w:val="000000"/>
                      <w:sz w:val="20"/>
                      <w:szCs w:val="20"/>
                    </w:rPr>
                    <w:t>următoarelor</w:t>
                  </w:r>
                  <w:r w:rsidRPr="00BF7956">
                    <w:rPr>
                      <w:color w:val="000000"/>
                      <w:sz w:val="20"/>
                      <w:szCs w:val="20"/>
                    </w:rPr>
                    <w:t xml:space="preserve"> principii:</w:t>
                  </w:r>
                </w:p>
                <w:p w14:paraId="77EA1C1D"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(i)  includerea valorii curente de piață sau a valorii actualizate nete a contractului ca intrare la punctul 2.4 din formularul privind benzile de scadență intitulat „Sume de primit aferente instrumentelor financiare derivate, altele decât cele raportate la punctul 2.3” la cea mai îndepărtată dată de exercitare a opțiunii, în cazul în care banca are dreptul de a exercita opțiunea;</w:t>
                  </w:r>
                </w:p>
                <w:p w14:paraId="6B45735A"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(ii)  includerea valorii curente de piață sau a valorii actualizate nete a contractului ca ieșire la punctul 1.5 din formularul privind benzile de scadență intitulat „Sume de plătit aferente instrumentelor financiare derivate, altele decât cele raportate la punctul 1.4” la cea mai apropiată dată de exercitare a opțiunii, în cazul în care contrapartea băncii are dreptul de a exercita opțiunea;</w:t>
                  </w:r>
                </w:p>
                <w:p w14:paraId="62673669"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(b)  fluxurile legate de alte contracte decât cele menționate la litera (a) sunt incluse prin proiecția fluxurilor de numerar contractuale brute în tranșele de timp respective la punctele 1.5 „Sume de plătit aferente instrumentelor financiare derivate, altele decât cele raportate la punctul 1.4” și 2.4 „Sume de primit aferente instrumentelor financiare derivate, altele decât cele raportate la punctul 2.3” și a fluxurilor contractuale de titluri de valoare la secțiunea din formularul privind benzile de scadență intitulată „Capacitatea de compensare”, folosind ratele forward implicite de pe piața actuală aplicabile la data raportării în cazul în care cuantumurile nu sunt încă stabilite.</w:t>
                  </w:r>
                </w:p>
                <w:p w14:paraId="2C9F3795"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 xml:space="preserve">În conformitate cu cele de mai sus: </w:t>
                  </w:r>
                </w:p>
                <w:p w14:paraId="73241602" w14:textId="77777777"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 xml:space="preserve">În ceea ce privește instrumentele financiare derivate menţionate la punctul 1, restituirea garanţiilor reale care au fost deja primite sau plătite nu se raportează în formularul privind benzile de scadenţă. </w:t>
                  </w:r>
                </w:p>
                <w:p w14:paraId="4A6D447C" w14:textId="37DCE22C" w:rsidR="00E10A9C"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 xml:space="preserve">În ceea ce privește instrumentele financiare derivate menţionate la punctul 2, restituirea garanţiilor reale care au fost deja primite sau plătite se raportează în secţiunea </w:t>
                  </w:r>
                  <w:r w:rsidR="00B2799B">
                    <w:rPr>
                      <w:color w:val="000000"/>
                      <w:sz w:val="20"/>
                      <w:szCs w:val="20"/>
                    </w:rPr>
                    <w:t xml:space="preserve">a </w:t>
                  </w:r>
                  <w:r w:rsidRPr="00BF7956">
                    <w:rPr>
                      <w:color w:val="000000"/>
                      <w:sz w:val="20"/>
                      <w:szCs w:val="20"/>
                    </w:rPr>
                    <w:t>3</w:t>
                  </w:r>
                  <w:r w:rsidR="00B2799B">
                    <w:rPr>
                      <w:color w:val="000000"/>
                      <w:sz w:val="20"/>
                      <w:szCs w:val="20"/>
                    </w:rPr>
                    <w:t>-a</w:t>
                  </w:r>
                  <w:r w:rsidRPr="00BF7956">
                    <w:rPr>
                      <w:color w:val="000000"/>
                      <w:sz w:val="20"/>
                      <w:szCs w:val="20"/>
                    </w:rPr>
                    <w:t xml:space="preserve">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w:t>
                  </w:r>
                  <w:r w:rsidR="00B2799B">
                    <w:rPr>
                      <w:color w:val="000000"/>
                      <w:sz w:val="20"/>
                      <w:szCs w:val="20"/>
                    </w:rPr>
                    <w:t>la</w:t>
                  </w:r>
                  <w:r w:rsidRPr="00BF7956">
                    <w:rPr>
                      <w:color w:val="000000"/>
                      <w:sz w:val="20"/>
                      <w:szCs w:val="20"/>
                    </w:rPr>
                    <w:t xml:space="preserve"> punctul 1.6 „Alte ieșiri” (punctul 2.6 „Alte intrări”) în tranșa de timp corespunzătoare. </w:t>
                  </w:r>
                </w:p>
                <w:p w14:paraId="50BB830C" w14:textId="5CE92954" w:rsidR="008E3BA7" w:rsidRPr="00BF7956" w:rsidRDefault="00E10A9C" w:rsidP="00E10A9C">
                  <w:pPr>
                    <w:pStyle w:val="CM4"/>
                    <w:framePr w:hSpace="180" w:wrap="around" w:vAnchor="text" w:hAnchor="margin" w:y="137"/>
                    <w:spacing w:before="60" w:after="60"/>
                    <w:rPr>
                      <w:color w:val="000000"/>
                      <w:sz w:val="20"/>
                      <w:szCs w:val="20"/>
                    </w:rPr>
                  </w:pPr>
                  <w:r w:rsidRPr="00BF7956">
                    <w:rPr>
                      <w:color w:val="000000"/>
                      <w:sz w:val="20"/>
                      <w:szCs w:val="20"/>
                    </w:rPr>
                    <w:t>În sensul prezentului rând, o situaţie în care garanţia reală schimbată cu o contraparte nu este perfect egală cu modificările de valoare ale instrumentului financiar derivat este considerată totuși ca fiind garantată adecvat dacă diferenţa nu depășește valoarea minimă de transfer.</w:t>
                  </w:r>
                </w:p>
              </w:tc>
            </w:tr>
          </w:tbl>
          <w:p w14:paraId="2B4C88B7"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2258BEE" w14:textId="4336929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575ECD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80B1970" w14:textId="77777777" w:rsidR="008E3BA7" w:rsidRPr="00BF7956" w:rsidRDefault="008E3BA7" w:rsidP="008E3BA7">
            <w:pPr>
              <w:jc w:val="both"/>
              <w:rPr>
                <w:sz w:val="20"/>
                <w:szCs w:val="20"/>
                <w:lang w:val="ro-RO"/>
              </w:rPr>
            </w:pPr>
          </w:p>
        </w:tc>
        <w:tc>
          <w:tcPr>
            <w:tcW w:w="992" w:type="dxa"/>
          </w:tcPr>
          <w:p w14:paraId="5CDBE621" w14:textId="77777777" w:rsidR="008E3BA7" w:rsidRPr="00BF7956" w:rsidRDefault="008E3BA7" w:rsidP="008E3BA7">
            <w:pPr>
              <w:jc w:val="both"/>
              <w:rPr>
                <w:sz w:val="20"/>
                <w:szCs w:val="20"/>
                <w:lang w:val="ro-RO"/>
              </w:rPr>
            </w:pPr>
          </w:p>
        </w:tc>
      </w:tr>
      <w:tr w:rsidR="008E3BA7" w:rsidRPr="00BF7956" w14:paraId="73FC9047" w14:textId="77777777" w:rsidTr="00C25F84">
        <w:tc>
          <w:tcPr>
            <w:tcW w:w="4576" w:type="dxa"/>
          </w:tcPr>
          <w:tbl>
            <w:tblPr>
              <w:tblStyle w:val="TableGrid"/>
              <w:tblW w:w="4399" w:type="dxa"/>
              <w:tblLayout w:type="fixed"/>
              <w:tblLook w:val="04A0" w:firstRow="1" w:lastRow="0" w:firstColumn="1" w:lastColumn="0" w:noHBand="0" w:noVBand="1"/>
            </w:tblPr>
            <w:tblGrid>
              <w:gridCol w:w="860"/>
              <w:gridCol w:w="3539"/>
            </w:tblGrid>
            <w:tr w:rsidR="008E3BA7" w:rsidRPr="002C43F1" w14:paraId="1A8A747A" w14:textId="77777777" w:rsidTr="00757213">
              <w:tc>
                <w:tcPr>
                  <w:tcW w:w="860" w:type="dxa"/>
                </w:tcPr>
                <w:p w14:paraId="1CF62736" w14:textId="64EEDD6A" w:rsidR="008E3BA7" w:rsidRPr="00BF7956" w:rsidRDefault="0013796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680</w:t>
                  </w:r>
                </w:p>
              </w:tc>
              <w:tc>
                <w:tcPr>
                  <w:tcW w:w="3539" w:type="dxa"/>
                </w:tcPr>
                <w:p w14:paraId="2F0FCD0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2.5</w:t>
                  </w:r>
                  <w:r w:rsidRPr="00BF7956">
                    <w:rPr>
                      <w:color w:val="000000"/>
                      <w:sz w:val="20"/>
                      <w:szCs w:val="20"/>
                    </w:rPr>
                    <w:t xml:space="preserve"> </w:t>
                  </w:r>
                  <w:r w:rsidRPr="00BF7956">
                    <w:rPr>
                      <w:b/>
                      <w:bCs/>
                      <w:color w:val="000000"/>
                      <w:sz w:val="20"/>
                      <w:szCs w:val="20"/>
                    </w:rPr>
                    <w:t xml:space="preserve">Titluri din propriul portofoliu care ajung la scadenţă </w:t>
                  </w:r>
                </w:p>
                <w:p w14:paraId="2A4B01A2" w14:textId="2B386F3A"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Cuantumul intrărilor care reprezintă rambursări ale principalului scadent aferent propriilor investiţii în obligaţiuni, raportate în conformitate cu scadenţa lor reziduală contractuală Acest punct include intrările de numerar rezultate din titlurile de valoare care ajung la scadenţă raportate în secţiunea privind capacitatea de compensare. Prin urmare, odată ce un titlu de valoare ajunge la scadenţă, acesta se raportează ca ieșire de titluri de valoare în secţiunea privind capacitatea de compensare și, prin urmare, ca intrare de numerar aici.</w:t>
                  </w:r>
                </w:p>
              </w:tc>
            </w:tr>
          </w:tbl>
          <w:p w14:paraId="34CE0D58"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60"/>
              <w:gridCol w:w="3539"/>
            </w:tblGrid>
            <w:tr w:rsidR="008E3BA7" w:rsidRPr="002C43F1" w14:paraId="0FAE4276" w14:textId="77777777" w:rsidTr="00144513">
              <w:tc>
                <w:tcPr>
                  <w:tcW w:w="860" w:type="dxa"/>
                </w:tcPr>
                <w:p w14:paraId="15B41668" w14:textId="3CC1343C" w:rsidR="008E3BA7" w:rsidRPr="00BF7956" w:rsidRDefault="00EF26E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680</w:t>
                  </w:r>
                </w:p>
              </w:tc>
              <w:tc>
                <w:tcPr>
                  <w:tcW w:w="3539" w:type="dxa"/>
                </w:tcPr>
                <w:p w14:paraId="0C9DEDB7" w14:textId="3EE6F13B" w:rsidR="00EF26EB" w:rsidRPr="00BF7956" w:rsidRDefault="00EF26EB" w:rsidP="00EF26EB">
                  <w:pPr>
                    <w:pStyle w:val="CM4"/>
                    <w:framePr w:hSpace="180" w:wrap="around" w:vAnchor="text" w:hAnchor="margin" w:y="137"/>
                    <w:spacing w:before="60" w:after="60"/>
                    <w:rPr>
                      <w:b/>
                      <w:bCs/>
                      <w:color w:val="000000"/>
                      <w:sz w:val="20"/>
                      <w:szCs w:val="20"/>
                    </w:rPr>
                  </w:pPr>
                  <w:r w:rsidRPr="00BF7956">
                    <w:rPr>
                      <w:b/>
                      <w:bCs/>
                      <w:color w:val="000000"/>
                      <w:sz w:val="20"/>
                      <w:szCs w:val="20"/>
                    </w:rPr>
                    <w:t>2.5 Titluri din propriul portofoliu care ajung la scadență</w:t>
                  </w:r>
                </w:p>
                <w:p w14:paraId="38CC4635" w14:textId="21B52F5E" w:rsidR="008E3BA7" w:rsidRPr="00BF7956" w:rsidRDefault="00EF26EB" w:rsidP="00EF26EB">
                  <w:pPr>
                    <w:pStyle w:val="CM4"/>
                    <w:framePr w:hSpace="180" w:wrap="around" w:vAnchor="text" w:hAnchor="margin" w:y="137"/>
                    <w:spacing w:before="60" w:after="60"/>
                    <w:rPr>
                      <w:color w:val="000000"/>
                      <w:sz w:val="20"/>
                      <w:szCs w:val="20"/>
                    </w:rPr>
                  </w:pPr>
                  <w:r w:rsidRPr="00BF7956">
                    <w:rPr>
                      <w:color w:val="000000"/>
                      <w:sz w:val="20"/>
                      <w:szCs w:val="20"/>
                    </w:rPr>
                    <w:t>Cuantumul intrărilor care reprezintă rambursări ale principalului scadent aferent propriilor investiții în obligațiuni, raportate în conformitate cu scadența lor reziduală contractuală. Acest punct include intrările de numerar rezultate din titlurile de valoare care ajung la scadență raportate în secțiunea privind capacitatea de compensare. Prin urmare, odată ce un titlu de valoare ajunge la scadență, acesta se raportează ca ieșire de titluri de valoare în secțiunea privind capacitatea de compensare și, prin urmare, ca intrare de numerar aici.</w:t>
                  </w:r>
                </w:p>
              </w:tc>
            </w:tr>
          </w:tbl>
          <w:p w14:paraId="5FE2BCD0"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8727239" w14:textId="33E5989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994B57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901ADDB" w14:textId="77777777" w:rsidR="008E3BA7" w:rsidRPr="00BF7956" w:rsidRDefault="008E3BA7" w:rsidP="008E3BA7">
            <w:pPr>
              <w:jc w:val="both"/>
              <w:rPr>
                <w:sz w:val="20"/>
                <w:szCs w:val="20"/>
                <w:lang w:val="ro-RO"/>
              </w:rPr>
            </w:pPr>
          </w:p>
        </w:tc>
        <w:tc>
          <w:tcPr>
            <w:tcW w:w="992" w:type="dxa"/>
          </w:tcPr>
          <w:p w14:paraId="30778380" w14:textId="77777777" w:rsidR="008E3BA7" w:rsidRPr="00BF7956" w:rsidRDefault="008E3BA7" w:rsidP="008E3BA7">
            <w:pPr>
              <w:jc w:val="both"/>
              <w:rPr>
                <w:sz w:val="20"/>
                <w:szCs w:val="20"/>
                <w:lang w:val="ro-RO"/>
              </w:rPr>
            </w:pPr>
          </w:p>
        </w:tc>
      </w:tr>
      <w:tr w:rsidR="008E3BA7" w:rsidRPr="00BF7956" w14:paraId="71A4CCDD"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F7956" w14:paraId="5C4C6F1E" w14:textId="77777777" w:rsidTr="0063783F">
              <w:tc>
                <w:tcPr>
                  <w:tcW w:w="856" w:type="dxa"/>
                </w:tcPr>
                <w:p w14:paraId="4CA330E1" w14:textId="3AB109FE" w:rsidR="008E3BA7" w:rsidRPr="00BF7956" w:rsidRDefault="0013796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690</w:t>
                  </w:r>
                </w:p>
              </w:tc>
              <w:tc>
                <w:tcPr>
                  <w:tcW w:w="3534" w:type="dxa"/>
                </w:tcPr>
                <w:p w14:paraId="7B292CA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2.6</w:t>
                  </w:r>
                  <w:r w:rsidRPr="00BF7956">
                    <w:rPr>
                      <w:color w:val="000000"/>
                      <w:sz w:val="20"/>
                      <w:szCs w:val="20"/>
                    </w:rPr>
                    <w:t xml:space="preserve"> </w:t>
                  </w:r>
                  <w:r w:rsidRPr="00BF7956">
                    <w:rPr>
                      <w:b/>
                      <w:bCs/>
                      <w:color w:val="000000"/>
                      <w:sz w:val="20"/>
                      <w:szCs w:val="20"/>
                    </w:rPr>
                    <w:t xml:space="preserve">Alte intrări </w:t>
                  </w:r>
                </w:p>
                <w:p w14:paraId="2B97094C" w14:textId="1DCFB880" w:rsidR="008E3BA7" w:rsidRPr="00BF7956" w:rsidRDefault="0013796F" w:rsidP="008E3BA7">
                  <w:pPr>
                    <w:pStyle w:val="CM4"/>
                    <w:framePr w:hSpace="180" w:wrap="around" w:vAnchor="text" w:hAnchor="margin" w:y="137"/>
                    <w:spacing w:before="60" w:after="60"/>
                    <w:rPr>
                      <w:color w:val="000000"/>
                      <w:sz w:val="20"/>
                      <w:szCs w:val="20"/>
                    </w:rPr>
                  </w:pPr>
                  <w:r w:rsidRPr="00BF7956">
                    <w:rPr>
                      <w:color w:val="000000"/>
                      <w:sz w:val="20"/>
                      <w:szCs w:val="20"/>
                    </w:rPr>
                    <w:t>Cuantumul total al tuturor celorlalte intrări de numerar neraportate la punctul 2.1, 2.2, 2.3, 2.4 sau 2.5 de mai sus. Intrările contingente nu se raportează aici.</w:t>
                  </w:r>
                </w:p>
              </w:tc>
            </w:tr>
          </w:tbl>
          <w:p w14:paraId="5C5DC7C8"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2799B" w14:paraId="50FC5DF4" w14:textId="77777777" w:rsidTr="00144513">
              <w:tc>
                <w:tcPr>
                  <w:tcW w:w="856" w:type="dxa"/>
                </w:tcPr>
                <w:p w14:paraId="01A26258" w14:textId="5AFDA66E" w:rsidR="008E3BA7" w:rsidRPr="00BF7956" w:rsidRDefault="00EF26EB"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690</w:t>
                  </w:r>
                </w:p>
              </w:tc>
              <w:tc>
                <w:tcPr>
                  <w:tcW w:w="3534" w:type="dxa"/>
                </w:tcPr>
                <w:p w14:paraId="4DA3789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2.6</w:t>
                  </w:r>
                  <w:r w:rsidRPr="00BF7956">
                    <w:rPr>
                      <w:color w:val="000000"/>
                      <w:sz w:val="20"/>
                      <w:szCs w:val="20"/>
                    </w:rPr>
                    <w:t xml:space="preserve"> </w:t>
                  </w:r>
                  <w:r w:rsidRPr="00BF7956">
                    <w:rPr>
                      <w:b/>
                      <w:bCs/>
                      <w:color w:val="000000"/>
                      <w:sz w:val="20"/>
                      <w:szCs w:val="20"/>
                    </w:rPr>
                    <w:t xml:space="preserve">Alte intrări </w:t>
                  </w:r>
                </w:p>
                <w:p w14:paraId="1355787F" w14:textId="098566EE" w:rsidR="008E3BA7" w:rsidRPr="00BF7956" w:rsidRDefault="00EF26EB" w:rsidP="008E3BA7">
                  <w:pPr>
                    <w:pStyle w:val="CM4"/>
                    <w:framePr w:hSpace="180" w:wrap="around" w:vAnchor="text" w:hAnchor="margin" w:y="137"/>
                    <w:spacing w:before="60" w:after="60"/>
                    <w:rPr>
                      <w:color w:val="000000"/>
                      <w:sz w:val="20"/>
                      <w:szCs w:val="20"/>
                    </w:rPr>
                  </w:pPr>
                  <w:r w:rsidRPr="00BF7956">
                    <w:rPr>
                      <w:color w:val="000000"/>
                      <w:sz w:val="20"/>
                      <w:szCs w:val="20"/>
                    </w:rPr>
                    <w:t>Cuantumul total al tuturor celorlalte intrări de numerar care nu sunt raportate la punct</w:t>
                  </w:r>
                  <w:r w:rsidR="00B2799B">
                    <w:rPr>
                      <w:color w:val="000000"/>
                      <w:sz w:val="20"/>
                      <w:szCs w:val="20"/>
                    </w:rPr>
                    <w:t>ele</w:t>
                  </w:r>
                  <w:r w:rsidRPr="00BF7956">
                    <w:rPr>
                      <w:color w:val="000000"/>
                      <w:sz w:val="20"/>
                      <w:szCs w:val="20"/>
                    </w:rPr>
                    <w:t xml:space="preserve"> 2.1, 2.2, 2.3, 2.4 sau 2.5 de mai sus. Intrările contingente nu se raportează aici.</w:t>
                  </w:r>
                </w:p>
              </w:tc>
            </w:tr>
          </w:tbl>
          <w:p w14:paraId="14C62C7C"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1A548F2" w14:textId="0A1ABD1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CEC32B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C62AFA2" w14:textId="77777777" w:rsidR="008E3BA7" w:rsidRPr="00BF7956" w:rsidRDefault="008E3BA7" w:rsidP="008E3BA7">
            <w:pPr>
              <w:jc w:val="both"/>
              <w:rPr>
                <w:sz w:val="20"/>
                <w:szCs w:val="20"/>
                <w:lang w:val="ro-RO"/>
              </w:rPr>
            </w:pPr>
          </w:p>
        </w:tc>
        <w:tc>
          <w:tcPr>
            <w:tcW w:w="992" w:type="dxa"/>
          </w:tcPr>
          <w:p w14:paraId="50F8BE2E" w14:textId="77777777" w:rsidR="008E3BA7" w:rsidRPr="00BF7956" w:rsidRDefault="008E3BA7" w:rsidP="008E3BA7">
            <w:pPr>
              <w:jc w:val="both"/>
              <w:rPr>
                <w:sz w:val="20"/>
                <w:szCs w:val="20"/>
                <w:lang w:val="ro-RO"/>
              </w:rPr>
            </w:pPr>
          </w:p>
        </w:tc>
      </w:tr>
      <w:tr w:rsidR="0013796F" w:rsidRPr="002C43F1" w14:paraId="776D453C"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13796F" w:rsidRPr="002C43F1" w14:paraId="5B320F0B" w14:textId="77777777" w:rsidTr="00472775">
              <w:tc>
                <w:tcPr>
                  <w:tcW w:w="856" w:type="dxa"/>
                </w:tcPr>
                <w:p w14:paraId="13385547" w14:textId="5932A751" w:rsidR="0013796F" w:rsidRPr="00BF7956" w:rsidRDefault="0013796F" w:rsidP="0013796F">
                  <w:pPr>
                    <w:pStyle w:val="CM4"/>
                    <w:framePr w:hSpace="180" w:wrap="around" w:vAnchor="text" w:hAnchor="margin" w:y="137"/>
                    <w:spacing w:before="60" w:after="60"/>
                    <w:rPr>
                      <w:i/>
                      <w:iCs/>
                      <w:color w:val="000000"/>
                      <w:sz w:val="20"/>
                      <w:szCs w:val="20"/>
                      <w:lang w:val="ro-RO"/>
                    </w:rPr>
                  </w:pPr>
                  <w:r w:rsidRPr="00BF7956">
                    <w:rPr>
                      <w:color w:val="000000"/>
                      <w:sz w:val="20"/>
                      <w:szCs w:val="20"/>
                    </w:rPr>
                    <w:t>0691</w:t>
                  </w:r>
                </w:p>
              </w:tc>
              <w:tc>
                <w:tcPr>
                  <w:tcW w:w="3534" w:type="dxa"/>
                </w:tcPr>
                <w:p w14:paraId="01F62690" w14:textId="0CB1A75B" w:rsidR="0013796F" w:rsidRPr="00BF7956" w:rsidRDefault="0013796F" w:rsidP="0013796F">
                  <w:pPr>
                    <w:pStyle w:val="CM4"/>
                    <w:framePr w:hSpace="180" w:wrap="around" w:vAnchor="text" w:hAnchor="margin" w:y="137"/>
                    <w:spacing w:before="60" w:after="60"/>
                    <w:rPr>
                      <w:color w:val="000000"/>
                      <w:sz w:val="20"/>
                      <w:szCs w:val="20"/>
                    </w:rPr>
                  </w:pPr>
                  <w:r w:rsidRPr="00BF7956">
                    <w:rPr>
                      <w:b/>
                      <w:bCs/>
                      <w:color w:val="000000"/>
                      <w:sz w:val="20"/>
                      <w:szCs w:val="20"/>
                    </w:rPr>
                    <w:t>2.6.1 din care: intragrup sau IPS</w:t>
                  </w:r>
                  <w:r w:rsidRPr="00BF7956">
                    <w:rPr>
                      <w:color w:val="000000"/>
                      <w:sz w:val="20"/>
                      <w:szCs w:val="20"/>
                    </w:rPr>
                    <w:t xml:space="preserve"> Cuantumul intrărilor de la punctul 2.6 în cazul în care contrapartea este o instituţie-mamă sau o filială a instituţiei sau o altă filială a aceleiași instituţii- mamă ori este legată de instituţia de credit printr-o relaţie în sensul articolului 22 alineatul (7) din 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397B4B46" w14:textId="77777777" w:rsidR="0013796F" w:rsidRPr="00BF7956" w:rsidRDefault="0013796F"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EF26EB" w:rsidRPr="002C43F1" w14:paraId="3D25A55D" w14:textId="77777777" w:rsidTr="00472775">
              <w:tc>
                <w:tcPr>
                  <w:tcW w:w="856" w:type="dxa"/>
                </w:tcPr>
                <w:p w14:paraId="3F99CF15" w14:textId="77777777" w:rsidR="00EF26EB" w:rsidRPr="00101940" w:rsidRDefault="00EF26EB" w:rsidP="00EF26EB">
                  <w:pPr>
                    <w:pStyle w:val="CM4"/>
                    <w:framePr w:hSpace="180" w:wrap="around" w:vAnchor="text" w:hAnchor="margin" w:y="137"/>
                    <w:spacing w:before="60" w:after="60"/>
                    <w:rPr>
                      <w:i/>
                      <w:iCs/>
                      <w:color w:val="000000"/>
                      <w:sz w:val="20"/>
                      <w:szCs w:val="20"/>
                      <w:lang w:val="ro-RO"/>
                    </w:rPr>
                  </w:pPr>
                  <w:r w:rsidRPr="00101940">
                    <w:rPr>
                      <w:color w:val="000000"/>
                      <w:sz w:val="20"/>
                      <w:szCs w:val="20"/>
                    </w:rPr>
                    <w:t>0691</w:t>
                  </w:r>
                </w:p>
              </w:tc>
              <w:tc>
                <w:tcPr>
                  <w:tcW w:w="3534" w:type="dxa"/>
                </w:tcPr>
                <w:p w14:paraId="0AAA2A4E" w14:textId="40980F2B" w:rsidR="00EF26EB" w:rsidRPr="00101940" w:rsidRDefault="00EF26EB" w:rsidP="00EF26EB">
                  <w:pPr>
                    <w:pStyle w:val="CM4"/>
                    <w:framePr w:hSpace="180" w:wrap="around" w:vAnchor="text" w:hAnchor="margin" w:y="137"/>
                    <w:spacing w:before="60" w:after="60"/>
                    <w:rPr>
                      <w:color w:val="000000"/>
                      <w:sz w:val="20"/>
                      <w:szCs w:val="20"/>
                    </w:rPr>
                  </w:pPr>
                  <w:r w:rsidRPr="00101940">
                    <w:rPr>
                      <w:b/>
                      <w:bCs/>
                      <w:color w:val="000000"/>
                      <w:sz w:val="20"/>
                      <w:szCs w:val="20"/>
                    </w:rPr>
                    <w:t>2.6.1 din care: intragrup sau IPS</w:t>
                  </w:r>
                  <w:r w:rsidRPr="00101940">
                    <w:rPr>
                      <w:color w:val="000000"/>
                      <w:sz w:val="20"/>
                      <w:szCs w:val="20"/>
                    </w:rPr>
                    <w:t xml:space="preserve"> </w:t>
                  </w:r>
                </w:p>
              </w:tc>
            </w:tr>
          </w:tbl>
          <w:p w14:paraId="4A03893B" w14:textId="77777777" w:rsidR="0013796F" w:rsidRPr="00101940" w:rsidRDefault="0013796F" w:rsidP="008E3BA7">
            <w:pPr>
              <w:pStyle w:val="CM4"/>
              <w:spacing w:before="60" w:after="60"/>
              <w:rPr>
                <w:color w:val="000000"/>
                <w:sz w:val="20"/>
                <w:szCs w:val="20"/>
                <w:lang w:val="en-US"/>
              </w:rPr>
            </w:pPr>
          </w:p>
        </w:tc>
        <w:tc>
          <w:tcPr>
            <w:tcW w:w="1418" w:type="dxa"/>
          </w:tcPr>
          <w:p w14:paraId="04B47D3F" w14:textId="216647C3" w:rsidR="0013796F" w:rsidRPr="00101940" w:rsidRDefault="00EF26EB" w:rsidP="008E3BA7">
            <w:pPr>
              <w:rPr>
                <w:bCs/>
                <w:sz w:val="20"/>
                <w:szCs w:val="20"/>
                <w:lang w:val="ro-RO"/>
              </w:rPr>
            </w:pPr>
            <w:r w:rsidRPr="00101940">
              <w:rPr>
                <w:bCs/>
                <w:sz w:val="20"/>
                <w:szCs w:val="20"/>
                <w:lang w:val="ro-RO"/>
              </w:rPr>
              <w:t xml:space="preserve">Necompatibil </w:t>
            </w:r>
          </w:p>
        </w:tc>
        <w:tc>
          <w:tcPr>
            <w:tcW w:w="2223" w:type="dxa"/>
          </w:tcPr>
          <w:p w14:paraId="1B358114" w14:textId="2AE7BA41" w:rsidR="0013796F" w:rsidRPr="00BF7956" w:rsidRDefault="00101940" w:rsidP="00101940">
            <w:pPr>
              <w:rPr>
                <w:sz w:val="20"/>
                <w:szCs w:val="20"/>
                <w:lang w:val="ro-RO"/>
              </w:rPr>
            </w:pPr>
            <w:r w:rsidRPr="008E3BA7">
              <w:rPr>
                <w:sz w:val="20"/>
                <w:szCs w:val="20"/>
                <w:lang w:val="ro-RO"/>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6EA58FAA" w14:textId="77777777" w:rsidR="0013796F" w:rsidRPr="00BF7956" w:rsidRDefault="0013796F" w:rsidP="008E3BA7">
            <w:pPr>
              <w:jc w:val="both"/>
              <w:rPr>
                <w:sz w:val="20"/>
                <w:szCs w:val="20"/>
                <w:lang w:val="ro-RO"/>
              </w:rPr>
            </w:pPr>
          </w:p>
        </w:tc>
        <w:tc>
          <w:tcPr>
            <w:tcW w:w="992" w:type="dxa"/>
          </w:tcPr>
          <w:p w14:paraId="60855DD3" w14:textId="77777777" w:rsidR="0013796F" w:rsidRPr="00BF7956" w:rsidRDefault="0013796F" w:rsidP="008E3BA7">
            <w:pPr>
              <w:jc w:val="both"/>
              <w:rPr>
                <w:sz w:val="20"/>
                <w:szCs w:val="20"/>
                <w:lang w:val="ro-RO"/>
              </w:rPr>
            </w:pPr>
          </w:p>
        </w:tc>
      </w:tr>
      <w:tr w:rsidR="008E3BA7" w:rsidRPr="00BF7956" w14:paraId="44820CFE"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2C43F1" w14:paraId="7F75CB9B" w14:textId="77777777" w:rsidTr="005F6EFC">
              <w:tc>
                <w:tcPr>
                  <w:tcW w:w="856" w:type="dxa"/>
                </w:tcPr>
                <w:p w14:paraId="7B4FA8D0" w14:textId="166E02E3" w:rsidR="008E3BA7" w:rsidRPr="00BF7956" w:rsidRDefault="0013796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700</w:t>
                  </w:r>
                </w:p>
              </w:tc>
              <w:tc>
                <w:tcPr>
                  <w:tcW w:w="3534" w:type="dxa"/>
                </w:tcPr>
                <w:p w14:paraId="731499F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2.7</w:t>
                  </w:r>
                  <w:r w:rsidRPr="00BF7956">
                    <w:rPr>
                      <w:color w:val="000000"/>
                      <w:sz w:val="20"/>
                      <w:szCs w:val="20"/>
                    </w:rPr>
                    <w:t xml:space="preserve"> </w:t>
                  </w:r>
                  <w:r w:rsidRPr="00BF7956">
                    <w:rPr>
                      <w:b/>
                      <w:bCs/>
                      <w:color w:val="000000"/>
                      <w:sz w:val="20"/>
                      <w:szCs w:val="20"/>
                    </w:rPr>
                    <w:t xml:space="preserve">Total intrări </w:t>
                  </w:r>
                </w:p>
                <w:p w14:paraId="3A0C2860" w14:textId="4CEDC000" w:rsidR="008E3BA7" w:rsidRPr="00BF7956" w:rsidRDefault="0013796F" w:rsidP="008E3BA7">
                  <w:pPr>
                    <w:pStyle w:val="CM4"/>
                    <w:framePr w:hSpace="180" w:wrap="around" w:vAnchor="text" w:hAnchor="margin" w:y="137"/>
                    <w:spacing w:before="60" w:after="60"/>
                    <w:rPr>
                      <w:color w:val="000000"/>
                      <w:sz w:val="20"/>
                      <w:szCs w:val="20"/>
                    </w:rPr>
                  </w:pPr>
                  <w:r w:rsidRPr="00BF7956">
                    <w:rPr>
                      <w:color w:val="000000"/>
                      <w:sz w:val="20"/>
                      <w:szCs w:val="20"/>
                    </w:rPr>
                    <w:t>Suma intrărilor raportate la punctele 2.1, 2.2, 2.3, 2.4, 2.5 și 2.6.</w:t>
                  </w:r>
                </w:p>
              </w:tc>
            </w:tr>
          </w:tbl>
          <w:p w14:paraId="2C5A0645"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2C43F1" w14:paraId="2036C5DB" w14:textId="77777777" w:rsidTr="00144513">
              <w:tc>
                <w:tcPr>
                  <w:tcW w:w="856" w:type="dxa"/>
                </w:tcPr>
                <w:p w14:paraId="25BA2654" w14:textId="60451C86" w:rsidR="008E3BA7" w:rsidRPr="00BF7956" w:rsidRDefault="005F4D8D"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700</w:t>
                  </w:r>
                </w:p>
              </w:tc>
              <w:tc>
                <w:tcPr>
                  <w:tcW w:w="3534" w:type="dxa"/>
                </w:tcPr>
                <w:p w14:paraId="74FEC91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2.7</w:t>
                  </w:r>
                  <w:r w:rsidRPr="00BF7956">
                    <w:rPr>
                      <w:color w:val="000000"/>
                      <w:sz w:val="20"/>
                      <w:szCs w:val="20"/>
                    </w:rPr>
                    <w:t xml:space="preserve"> </w:t>
                  </w:r>
                  <w:r w:rsidRPr="00BF7956">
                    <w:rPr>
                      <w:b/>
                      <w:bCs/>
                      <w:color w:val="000000"/>
                      <w:sz w:val="20"/>
                      <w:szCs w:val="20"/>
                    </w:rPr>
                    <w:t xml:space="preserve">Total intrări </w:t>
                  </w:r>
                </w:p>
                <w:p w14:paraId="715D37E8" w14:textId="61E54BC8" w:rsidR="008E3BA7" w:rsidRPr="00BF7956" w:rsidRDefault="005F4D8D" w:rsidP="008E3BA7">
                  <w:pPr>
                    <w:pStyle w:val="CM4"/>
                    <w:framePr w:hSpace="180" w:wrap="around" w:vAnchor="text" w:hAnchor="margin" w:y="137"/>
                    <w:spacing w:before="60" w:after="60"/>
                    <w:rPr>
                      <w:color w:val="000000"/>
                      <w:sz w:val="20"/>
                      <w:szCs w:val="20"/>
                    </w:rPr>
                  </w:pPr>
                  <w:r w:rsidRPr="00BF7956">
                    <w:rPr>
                      <w:color w:val="000000"/>
                      <w:sz w:val="20"/>
                      <w:szCs w:val="20"/>
                    </w:rPr>
                    <w:t>Suma intrărilor raportate la punctele 2.1, 2.2, 2.3, 2.4, 2.5 și 2.6.</w:t>
                  </w:r>
                </w:p>
              </w:tc>
            </w:tr>
          </w:tbl>
          <w:p w14:paraId="14AF41E9"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22804E01" w14:textId="3ED49BC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F3D455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C9A17A9" w14:textId="77777777" w:rsidR="008E3BA7" w:rsidRPr="00BF7956" w:rsidRDefault="008E3BA7" w:rsidP="008E3BA7">
            <w:pPr>
              <w:jc w:val="both"/>
              <w:rPr>
                <w:sz w:val="20"/>
                <w:szCs w:val="20"/>
                <w:lang w:val="ro-RO"/>
              </w:rPr>
            </w:pPr>
          </w:p>
        </w:tc>
        <w:tc>
          <w:tcPr>
            <w:tcW w:w="992" w:type="dxa"/>
          </w:tcPr>
          <w:p w14:paraId="1E8A8E4E" w14:textId="77777777" w:rsidR="008E3BA7" w:rsidRPr="00BF7956" w:rsidRDefault="008E3BA7" w:rsidP="008E3BA7">
            <w:pPr>
              <w:jc w:val="both"/>
              <w:rPr>
                <w:sz w:val="20"/>
                <w:szCs w:val="20"/>
                <w:lang w:val="ro-RO"/>
              </w:rPr>
            </w:pPr>
          </w:p>
        </w:tc>
      </w:tr>
      <w:tr w:rsidR="008E3BA7" w:rsidRPr="00BF7956" w14:paraId="05738E45"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2C43F1" w14:paraId="3B709D92" w14:textId="77777777" w:rsidTr="005F6EFC">
              <w:tc>
                <w:tcPr>
                  <w:tcW w:w="856" w:type="dxa"/>
                </w:tcPr>
                <w:p w14:paraId="6510E641" w14:textId="57EB8F4F" w:rsidR="008E3BA7" w:rsidRPr="00BF7956" w:rsidRDefault="0013796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710</w:t>
                  </w:r>
                </w:p>
              </w:tc>
              <w:tc>
                <w:tcPr>
                  <w:tcW w:w="3534" w:type="dxa"/>
                </w:tcPr>
                <w:p w14:paraId="791CBB3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2.8</w:t>
                  </w:r>
                  <w:r w:rsidRPr="00BF7956">
                    <w:rPr>
                      <w:color w:val="000000"/>
                      <w:sz w:val="20"/>
                      <w:szCs w:val="20"/>
                    </w:rPr>
                    <w:t xml:space="preserve"> </w:t>
                  </w:r>
                  <w:r w:rsidRPr="00BF7956">
                    <w:rPr>
                      <w:b/>
                      <w:bCs/>
                      <w:color w:val="000000"/>
                      <w:sz w:val="20"/>
                      <w:szCs w:val="20"/>
                    </w:rPr>
                    <w:t xml:space="preserve">Deficit contractual net </w:t>
                  </w:r>
                </w:p>
                <w:p w14:paraId="545E29A6" w14:textId="4CAC1109" w:rsidR="008E3BA7" w:rsidRPr="00BF7956" w:rsidRDefault="0013796F" w:rsidP="008E3BA7">
                  <w:pPr>
                    <w:pStyle w:val="CM4"/>
                    <w:framePr w:hSpace="180" w:wrap="around" w:vAnchor="text" w:hAnchor="margin" w:y="137"/>
                    <w:spacing w:before="60" w:after="60"/>
                    <w:rPr>
                      <w:color w:val="000000"/>
                      <w:sz w:val="20"/>
                      <w:szCs w:val="20"/>
                    </w:rPr>
                  </w:pPr>
                  <w:r w:rsidRPr="00BF7956">
                    <w:rPr>
                      <w:color w:val="000000"/>
                      <w:sz w:val="20"/>
                      <w:szCs w:val="20"/>
                    </w:rPr>
                    <w:t>Totalul intrărilor raportate la punctul 2.7 minus totalul ieșirilor raportate la punctul 1.7.</w:t>
                  </w:r>
                </w:p>
              </w:tc>
            </w:tr>
          </w:tbl>
          <w:p w14:paraId="24B53D07"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2C43F1" w14:paraId="45E98FA1" w14:textId="77777777" w:rsidTr="00144513">
              <w:tc>
                <w:tcPr>
                  <w:tcW w:w="856" w:type="dxa"/>
                </w:tcPr>
                <w:p w14:paraId="34D8BD98" w14:textId="7B49CC70" w:rsidR="008E3BA7" w:rsidRPr="00BF7956" w:rsidRDefault="005F1E7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710</w:t>
                  </w:r>
                </w:p>
              </w:tc>
              <w:tc>
                <w:tcPr>
                  <w:tcW w:w="3534" w:type="dxa"/>
                </w:tcPr>
                <w:p w14:paraId="08A0E7A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2.8</w:t>
                  </w:r>
                  <w:r w:rsidRPr="00BF7956">
                    <w:rPr>
                      <w:color w:val="000000"/>
                      <w:sz w:val="20"/>
                      <w:szCs w:val="20"/>
                    </w:rPr>
                    <w:t xml:space="preserve"> </w:t>
                  </w:r>
                  <w:r w:rsidRPr="00BF7956">
                    <w:rPr>
                      <w:b/>
                      <w:bCs/>
                      <w:color w:val="000000"/>
                      <w:sz w:val="20"/>
                      <w:szCs w:val="20"/>
                    </w:rPr>
                    <w:t xml:space="preserve">Deficit contractual net </w:t>
                  </w:r>
                </w:p>
                <w:p w14:paraId="79EE4C14" w14:textId="789B5CF3" w:rsidR="008E3BA7" w:rsidRPr="00BF7956" w:rsidRDefault="005F1E73" w:rsidP="008E3BA7">
                  <w:pPr>
                    <w:pStyle w:val="CM4"/>
                    <w:framePr w:hSpace="180" w:wrap="around" w:vAnchor="text" w:hAnchor="margin" w:y="137"/>
                    <w:spacing w:before="60" w:after="60"/>
                    <w:rPr>
                      <w:color w:val="000000"/>
                      <w:sz w:val="20"/>
                      <w:szCs w:val="20"/>
                    </w:rPr>
                  </w:pPr>
                  <w:r w:rsidRPr="00BF7956">
                    <w:rPr>
                      <w:color w:val="000000"/>
                      <w:sz w:val="20"/>
                      <w:szCs w:val="20"/>
                    </w:rPr>
                    <w:t>Totalul intrărilor raportate la punctul 2.7 minus totalul ieșirilor raportate la punctul 1.7.</w:t>
                  </w:r>
                </w:p>
              </w:tc>
            </w:tr>
          </w:tbl>
          <w:p w14:paraId="57F2FA07"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1F6EB922" w14:textId="7D689B2F"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5C117F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BC1CEBB" w14:textId="77777777" w:rsidR="008E3BA7" w:rsidRPr="00BF7956" w:rsidRDefault="008E3BA7" w:rsidP="008E3BA7">
            <w:pPr>
              <w:jc w:val="both"/>
              <w:rPr>
                <w:sz w:val="20"/>
                <w:szCs w:val="20"/>
                <w:lang w:val="ro-RO"/>
              </w:rPr>
            </w:pPr>
          </w:p>
        </w:tc>
        <w:tc>
          <w:tcPr>
            <w:tcW w:w="992" w:type="dxa"/>
          </w:tcPr>
          <w:p w14:paraId="2524879E" w14:textId="77777777" w:rsidR="008E3BA7" w:rsidRPr="00BF7956" w:rsidRDefault="008E3BA7" w:rsidP="008E3BA7">
            <w:pPr>
              <w:jc w:val="both"/>
              <w:rPr>
                <w:sz w:val="20"/>
                <w:szCs w:val="20"/>
                <w:lang w:val="ro-RO"/>
              </w:rPr>
            </w:pPr>
          </w:p>
        </w:tc>
      </w:tr>
      <w:tr w:rsidR="008E3BA7" w:rsidRPr="00BF7956" w14:paraId="3E23E40E"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2C43F1" w14:paraId="1DF1AB11" w14:textId="77777777" w:rsidTr="005F6EFC">
              <w:tc>
                <w:tcPr>
                  <w:tcW w:w="856" w:type="dxa"/>
                </w:tcPr>
                <w:p w14:paraId="6A59C2D4" w14:textId="00167552" w:rsidR="008E3BA7" w:rsidRPr="00BF7956" w:rsidRDefault="0013796F"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720</w:t>
                  </w:r>
                </w:p>
              </w:tc>
              <w:tc>
                <w:tcPr>
                  <w:tcW w:w="3534" w:type="dxa"/>
                </w:tcPr>
                <w:p w14:paraId="10942239" w14:textId="79C3176C"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2.9</w:t>
                  </w:r>
                  <w:r w:rsidRPr="00BF7956">
                    <w:rPr>
                      <w:color w:val="000000"/>
                      <w:sz w:val="20"/>
                      <w:szCs w:val="20"/>
                    </w:rPr>
                    <w:t xml:space="preserve"> </w:t>
                  </w:r>
                  <w:r w:rsidRPr="00BF7956">
                    <w:rPr>
                      <w:b/>
                      <w:bCs/>
                      <w:color w:val="000000"/>
                      <w:sz w:val="20"/>
                      <w:szCs w:val="20"/>
                    </w:rPr>
                    <w:t xml:space="preserve">Deficit contractual net cumulat </w:t>
                  </w:r>
                  <w:r w:rsidRPr="00BF7956">
                    <w:rPr>
                      <w:color w:val="000000"/>
                      <w:sz w:val="20"/>
                      <w:szCs w:val="20"/>
                    </w:rPr>
                    <w:t>Deficitul contractual net cumulat de la data raportării până la limita superioară a tranșei de timp relevante</w:t>
                  </w:r>
                </w:p>
              </w:tc>
            </w:tr>
          </w:tbl>
          <w:p w14:paraId="28186B4B"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2C43F1" w14:paraId="0D4E1FB2" w14:textId="77777777" w:rsidTr="00144513">
              <w:tc>
                <w:tcPr>
                  <w:tcW w:w="856" w:type="dxa"/>
                </w:tcPr>
                <w:p w14:paraId="14FA58EB" w14:textId="5934CFC2" w:rsidR="008E3BA7" w:rsidRPr="00BF7956" w:rsidRDefault="005F1E7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720</w:t>
                  </w:r>
                </w:p>
              </w:tc>
              <w:tc>
                <w:tcPr>
                  <w:tcW w:w="3534" w:type="dxa"/>
                </w:tcPr>
                <w:p w14:paraId="6331EC96" w14:textId="0922A40B" w:rsidR="008E3BA7" w:rsidRPr="00BF7956" w:rsidRDefault="008E3BA7" w:rsidP="008E3BA7">
                  <w:pPr>
                    <w:pStyle w:val="CM4"/>
                    <w:framePr w:hSpace="180" w:wrap="around" w:vAnchor="text" w:hAnchor="margin" w:y="137"/>
                    <w:spacing w:before="60" w:after="60"/>
                    <w:rPr>
                      <w:color w:val="000000"/>
                      <w:sz w:val="20"/>
                      <w:szCs w:val="20"/>
                    </w:rPr>
                  </w:pPr>
                  <w:r w:rsidRPr="00101940">
                    <w:rPr>
                      <w:b/>
                      <w:bCs/>
                      <w:color w:val="000000"/>
                      <w:sz w:val="20"/>
                      <w:szCs w:val="20"/>
                    </w:rPr>
                    <w:t>2.9</w:t>
                  </w:r>
                  <w:r w:rsidRPr="00BF7956">
                    <w:rPr>
                      <w:color w:val="000000"/>
                      <w:sz w:val="20"/>
                      <w:szCs w:val="20"/>
                    </w:rPr>
                    <w:t xml:space="preserve"> </w:t>
                  </w:r>
                  <w:r w:rsidRPr="00BF7956">
                    <w:rPr>
                      <w:b/>
                      <w:bCs/>
                      <w:color w:val="000000"/>
                      <w:sz w:val="20"/>
                      <w:szCs w:val="20"/>
                    </w:rPr>
                    <w:t xml:space="preserve">Deficit contractual net cumulat </w:t>
                  </w:r>
                  <w:r w:rsidRPr="00BF7956">
                    <w:rPr>
                      <w:color w:val="000000"/>
                      <w:sz w:val="20"/>
                      <w:szCs w:val="20"/>
                    </w:rPr>
                    <w:t>Deficitul contractual net cumulat de la data raportării până la limita superioară a tranșei de timp relevante.</w:t>
                  </w:r>
                </w:p>
              </w:tc>
            </w:tr>
          </w:tbl>
          <w:p w14:paraId="4BD8EF31"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C5D0790" w14:textId="31164EA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7F7F434"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E60675F" w14:textId="77777777" w:rsidR="008E3BA7" w:rsidRPr="00BF7956" w:rsidRDefault="008E3BA7" w:rsidP="008E3BA7">
            <w:pPr>
              <w:jc w:val="both"/>
              <w:rPr>
                <w:sz w:val="20"/>
                <w:szCs w:val="20"/>
                <w:lang w:val="ro-RO"/>
              </w:rPr>
            </w:pPr>
          </w:p>
        </w:tc>
        <w:tc>
          <w:tcPr>
            <w:tcW w:w="992" w:type="dxa"/>
          </w:tcPr>
          <w:p w14:paraId="536AAAB6" w14:textId="77777777" w:rsidR="008E3BA7" w:rsidRPr="00BF7956" w:rsidRDefault="008E3BA7" w:rsidP="008E3BA7">
            <w:pPr>
              <w:jc w:val="both"/>
              <w:rPr>
                <w:sz w:val="20"/>
                <w:szCs w:val="20"/>
                <w:lang w:val="ro-RO"/>
              </w:rPr>
            </w:pPr>
          </w:p>
        </w:tc>
      </w:tr>
      <w:tr w:rsidR="008E3BA7" w:rsidRPr="00BF7956" w14:paraId="09B97152"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F7956" w14:paraId="2A847369" w14:textId="77777777" w:rsidTr="0021254F">
              <w:tc>
                <w:tcPr>
                  <w:tcW w:w="856" w:type="dxa"/>
                </w:tcPr>
                <w:p w14:paraId="54230177"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Rând</w:t>
                  </w:r>
                </w:p>
              </w:tc>
              <w:tc>
                <w:tcPr>
                  <w:tcW w:w="3534" w:type="dxa"/>
                </w:tcPr>
                <w:p w14:paraId="5DFC137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Referinţe juridice și instrucţiuni</w:t>
                  </w:r>
                </w:p>
              </w:tc>
            </w:tr>
            <w:tr w:rsidR="008E3BA7" w:rsidRPr="00BF7956" w14:paraId="386EE93F" w14:textId="77777777" w:rsidTr="0021254F">
              <w:tc>
                <w:tcPr>
                  <w:tcW w:w="856" w:type="dxa"/>
                </w:tcPr>
                <w:p w14:paraId="2A50E9E3" w14:textId="77777777" w:rsidR="008E3BA7" w:rsidRPr="00BF7956" w:rsidRDefault="008E3BA7" w:rsidP="008E3BA7">
                  <w:pPr>
                    <w:pStyle w:val="CM4"/>
                    <w:framePr w:hSpace="180" w:wrap="around" w:vAnchor="text" w:hAnchor="margin" w:y="137"/>
                    <w:spacing w:before="60" w:after="60"/>
                    <w:rPr>
                      <w:b/>
                      <w:bCs/>
                      <w:color w:val="000000"/>
                      <w:sz w:val="20"/>
                      <w:szCs w:val="20"/>
                    </w:rPr>
                  </w:pPr>
                </w:p>
              </w:tc>
              <w:tc>
                <w:tcPr>
                  <w:tcW w:w="3534" w:type="dxa"/>
                </w:tcPr>
                <w:p w14:paraId="7D29675A" w14:textId="77777777" w:rsidR="008E3BA7" w:rsidRPr="00BF7956" w:rsidRDefault="008E3BA7" w:rsidP="008E3BA7">
                  <w:pPr>
                    <w:pStyle w:val="CM4"/>
                    <w:framePr w:hSpace="180" w:wrap="around" w:vAnchor="text" w:hAnchor="margin" w:y="137"/>
                    <w:spacing w:before="60" w:after="60"/>
                    <w:rPr>
                      <w:b/>
                      <w:bCs/>
                      <w:color w:val="000000"/>
                      <w:sz w:val="20"/>
                      <w:szCs w:val="20"/>
                    </w:rPr>
                  </w:pPr>
                </w:p>
              </w:tc>
            </w:tr>
            <w:tr w:rsidR="008E3BA7" w:rsidRPr="002C43F1" w14:paraId="0F68B0ED" w14:textId="77777777" w:rsidTr="0021254F">
              <w:tc>
                <w:tcPr>
                  <w:tcW w:w="856" w:type="dxa"/>
                </w:tcPr>
                <w:p w14:paraId="364C442F" w14:textId="0C65BAF3" w:rsidR="008E3BA7" w:rsidRPr="00BF7956" w:rsidRDefault="00DC0925" w:rsidP="008E3BA7">
                  <w:pPr>
                    <w:pStyle w:val="CM4"/>
                    <w:framePr w:hSpace="180" w:wrap="around" w:vAnchor="text" w:hAnchor="margin" w:y="137"/>
                    <w:spacing w:before="60" w:after="60"/>
                    <w:rPr>
                      <w:i/>
                      <w:iCs/>
                      <w:color w:val="000000"/>
                      <w:sz w:val="20"/>
                      <w:szCs w:val="20"/>
                    </w:rPr>
                  </w:pPr>
                  <w:r w:rsidRPr="00BF7956">
                    <w:rPr>
                      <w:b/>
                      <w:bCs/>
                      <w:color w:val="000000"/>
                      <w:sz w:val="20"/>
                      <w:szCs w:val="20"/>
                    </w:rPr>
                    <w:t>0</w:t>
                  </w:r>
                  <w:r w:rsidR="008E3BA7" w:rsidRPr="00BF7956">
                    <w:rPr>
                      <w:b/>
                      <w:bCs/>
                      <w:color w:val="000000"/>
                      <w:sz w:val="20"/>
                      <w:szCs w:val="20"/>
                    </w:rPr>
                    <w:t>730-1080</w:t>
                  </w:r>
                </w:p>
              </w:tc>
              <w:tc>
                <w:tcPr>
                  <w:tcW w:w="3534" w:type="dxa"/>
                </w:tcPr>
                <w:p w14:paraId="7CB5E580" w14:textId="33523B4B" w:rsidR="00DC0925" w:rsidRPr="00BF7956" w:rsidRDefault="00DC0925" w:rsidP="00DC0925">
                  <w:pPr>
                    <w:framePr w:hSpace="180" w:wrap="around" w:vAnchor="text" w:hAnchor="margin" w:y="137"/>
                    <w:rPr>
                      <w:sz w:val="20"/>
                      <w:szCs w:val="20"/>
                      <w:lang w:val="ro-MD" w:eastAsia="en-US"/>
                    </w:rPr>
                  </w:pPr>
                  <w:r w:rsidRPr="002C43F1">
                    <w:rPr>
                      <w:b/>
                      <w:bCs/>
                      <w:color w:val="000000"/>
                      <w:sz w:val="20"/>
                      <w:szCs w:val="20"/>
                      <w:lang w:val="en-US"/>
                    </w:rPr>
                    <w:t>3</w:t>
                  </w:r>
                  <w:r w:rsidRPr="002C43F1">
                    <w:rPr>
                      <w:color w:val="000000"/>
                      <w:sz w:val="20"/>
                      <w:szCs w:val="20"/>
                      <w:lang w:val="en-US"/>
                    </w:rPr>
                    <w:t xml:space="preserve"> </w:t>
                  </w:r>
                  <w:r w:rsidRPr="002C43F1">
                    <w:rPr>
                      <w:b/>
                      <w:bCs/>
                      <w:color w:val="000000"/>
                      <w:sz w:val="20"/>
                      <w:szCs w:val="20"/>
                      <w:lang w:val="en-US"/>
                    </w:rPr>
                    <w:t>CAPACITATEA DE COMPENSARE</w:t>
                  </w:r>
                </w:p>
                <w:p w14:paraId="6628A415" w14:textId="77777777" w:rsidR="008E3BA7" w:rsidRPr="00BF7956" w:rsidRDefault="00DC0925" w:rsidP="008E3BA7">
                  <w:pPr>
                    <w:framePr w:hSpace="180" w:wrap="around" w:vAnchor="text" w:hAnchor="margin" w:y="137"/>
                    <w:rPr>
                      <w:sz w:val="20"/>
                      <w:szCs w:val="20"/>
                      <w:lang w:val="ro-MD" w:eastAsia="en-US"/>
                    </w:rPr>
                  </w:pPr>
                  <w:r w:rsidRPr="00BF7956">
                    <w:rPr>
                      <w:sz w:val="20"/>
                      <w:szCs w:val="20"/>
                      <w:lang w:val="ro-MD" w:eastAsia="en-US"/>
                    </w:rPr>
                    <w:t>Secţiunea intitulată „Capacitatea de compensare” a formularului privind benzile de scadenţă cuprinde informaţii despre evoluţia deţinerilor de active, cu diferite grade de lichiditate, ale unei instituţii, printre care active tranzacţionabile și active eligibile la banca centrală, precum și despre evoluţia facilităţilor angajate contractual în favoarea instituţiei. Raportarea la nivel consolidat cu privire la eligibilitatea la banca centrală se bazează pe regulile de eligibilitate la banca centrală care se aplică fiecărei instituţii consolidate în jurisdicţia locului de înregistrare a acesteia. În cazurile în care capacitatea de compensare se referă la active tranzacţionabile, instituţiile raportează activele tranzacţionabile care sunt tranzacţionate pe pieţe la vedere sau repo mari, profunde și active, caracterizate de un nivel redus de concentrare. Activele raportate în coloanele din secţiunea privind capacitatea de compensare trebuie să cuprindă numai active negrevate care sunt disponibile pentru ca instituţia să le poată converti în numerar în orice moment pentru a completa deficitul contractual dintre intrările de numerar și ieșirile de numerar în perioada vizată. În acest sens, se aplică definiţia activelor grevate de sarcini în conformitate cu Regulamentul delegat (UE) 2015/61 al Comisiei. Activele nu se folosesc ca mijloc de ameliorare a calităţii creditului în tranzacţiile cu instrumente financiare structurate sau pentru a acoperi costurile operaţionale, precum chiriile și salariile, și se gestionează cu intenţia clară și unică de a fi utilizate ca sursă de fonduri de rezervă. Activele pe care instituţia le-a primit ca garanţii în tranzacţiile reverse repo și în operaţiunile de finanţare prin instrumente financiare (SFT) pot fi considerate ca făcând parte din capacitatea de compensare dacă sunt păstrate în cadrul instituţiei, nu au fost reipotecate și se află, din punct de vedere juridic și contractual, la dispoziţia instituţiei în vederea utilizării lor. Pentru a evita dubla contabilizare, dacă instituţia raportează activele prepoziţionate la punctele 3.1-3.7, aceasta nu raportează capacitatea aferentă acestor facilităţi la punctul 3.8. Instituţiile trebuie să raporteze ca stoc iniţial în coloana 0010 activele care corespund descrierii unui rând și sunt disponibile la data raportării. Coloanele 0020-0220 conţin fluxurile contractuale aferente capacităţii de compensare. În cazul în care o instituţie a încheiat o tranzacţie repo, activul cedat este reintrodus ca intrare de titluri de valoare în banda de scadenţă în care tranzacţia repo ajunge la scadenţă. În consecinţă, ieșirea de numerar care decurge din tranzacţia repo ajunsă la scadenţă se raportează în banda de scadenţă a ieșirii de numerar relevantă de la punctul 1.2. În cazul în care o instituţie a încheiat o tranzacţie reverse repo, activul dobândit este reintrodus ca ieșire de titluri de valoare în banda de scadenţă în care tranzacţia repo ajunge la scadenţă. În consecinţă, intrarea de numerar care decurge din tranzacţia repo ajunsă la scadenţă se raportează în banda de scadenţă a intrării de numerar relevantă de la punctul 2.1. Swap-urile pe garanţii reale se raportează ca intrări și ieșiri contractuale de titluri de valoare în secţiunea privind capacitatea de compensare, în conformitate cu banda de scadenţă relevantă în care swap-urile ajung la scadenţă.</w:t>
                  </w:r>
                </w:p>
                <w:p w14:paraId="26E08C07" w14:textId="27B55E29" w:rsidR="00DC0925" w:rsidRPr="00BF7956" w:rsidRDefault="00DC0925" w:rsidP="008E3BA7">
                  <w:pPr>
                    <w:framePr w:hSpace="180" w:wrap="around" w:vAnchor="text" w:hAnchor="margin" w:y="137"/>
                    <w:rPr>
                      <w:sz w:val="20"/>
                      <w:szCs w:val="20"/>
                      <w:lang w:val="ro-MD" w:eastAsia="en-US"/>
                    </w:rPr>
                  </w:pPr>
                  <w:r w:rsidRPr="00BF7956">
                    <w:rPr>
                      <w:sz w:val="20"/>
                      <w:szCs w:val="20"/>
                      <w:lang w:val="ro-MD" w:eastAsia="en-US"/>
                    </w:rPr>
                    <w:t>Activele eligibile pentru CBC care au fost deja primite sau furnizate în contextul instrumentelor financiare derivate la data de referinţă a raportării (și anume în coloana „Stoc” din secţiunea 3 a formularului privind benzile de scadenţă, dacă nu sunt grevate de sarcini și sunt disponibile pentru a fi grevate de sarcini). În ceea ce privește instrumentele financiare derivate care sunt garantate integral sau adecvat, restituirea garanţiilor reale care au fost deja primite sau plătite nu se raportează în formularul privind benzile de scadenţă. În ceea ce privește instrumentele financiare derivate care sunt garantate parţial, restituirea garanţiilor reale care au fost deja primite sau plătite se raportează în secţiunea 3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 O modificare a valorii disponibile din punct de vedere contractual a liniilor de credit și de lichiditate raportate la punctul 3.8 se raportează ca un flux în tranșa de timp relevantă. În cazul în care o instituţie deţine un depozit overnight la o bancă centrală, valoarea depozitului se raportează ca stoc iniţial la punctul 3.2. Titlurile de valoare care ajung la scadenţă din secţiunea privind capacitatea de compensare se raportează în funcţie de scadenţa lor contractuală. Atunci când un titlu de valoare ajunge la scadenţă, acesta se elimină din categoria de active unde a fost raportat iniţial și trebuie tratat ca o ieșire de titluri de valoare, intrarea de numerar rezultată raportându-se la punctul 2.5. Toate titlurile de valoare se raportează în banda de scadenţă relevantă la valorile lor actuale de piaţă. La punctul 3.8 se raportează numai cuantumurile disponibile contractual. Pentru a evita dubla contabilizare, intrările de numerar nu trebuie contabilizate la punctul 3.1 sau 3.2 din secţiunea privind capacitatea de compensare. Elementele aferente capacităţii de compensare se raportează în următoarele subcategorii:</w:t>
                  </w:r>
                </w:p>
              </w:tc>
            </w:tr>
          </w:tbl>
          <w:p w14:paraId="0762F08B" w14:textId="77777777" w:rsidR="008E3BA7" w:rsidRPr="00BF7956" w:rsidRDefault="008E3BA7" w:rsidP="008E3BA7">
            <w:pPr>
              <w:pStyle w:val="CM4"/>
              <w:spacing w:before="60" w:after="60"/>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F7956" w14:paraId="74C30E9D" w14:textId="77777777" w:rsidTr="00144513">
              <w:tc>
                <w:tcPr>
                  <w:tcW w:w="856" w:type="dxa"/>
                </w:tcPr>
                <w:p w14:paraId="25A2E84C"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Rând</w:t>
                  </w:r>
                </w:p>
              </w:tc>
              <w:tc>
                <w:tcPr>
                  <w:tcW w:w="3534" w:type="dxa"/>
                </w:tcPr>
                <w:p w14:paraId="75B67C14" w14:textId="77777777" w:rsidR="008E3BA7" w:rsidRPr="00BF7956" w:rsidRDefault="008E3BA7" w:rsidP="008E3BA7">
                  <w:pPr>
                    <w:pStyle w:val="CM4"/>
                    <w:framePr w:hSpace="180" w:wrap="around" w:vAnchor="text" w:hAnchor="margin" w:y="137"/>
                    <w:spacing w:before="60" w:after="60"/>
                    <w:rPr>
                      <w:i/>
                      <w:iCs/>
                      <w:color w:val="000000"/>
                      <w:sz w:val="20"/>
                      <w:szCs w:val="20"/>
                    </w:rPr>
                  </w:pPr>
                  <w:r w:rsidRPr="00BF7956">
                    <w:rPr>
                      <w:color w:val="000000"/>
                      <w:sz w:val="20"/>
                      <w:szCs w:val="20"/>
                    </w:rPr>
                    <w:t>Referinţe juridice și instrucţiuni</w:t>
                  </w:r>
                </w:p>
              </w:tc>
            </w:tr>
            <w:tr w:rsidR="008E3BA7" w:rsidRPr="00BF7956" w14:paraId="0BA8A74D" w14:textId="77777777" w:rsidTr="00144513">
              <w:tc>
                <w:tcPr>
                  <w:tcW w:w="856" w:type="dxa"/>
                </w:tcPr>
                <w:p w14:paraId="7A1486E8" w14:textId="77777777" w:rsidR="008E3BA7" w:rsidRPr="00BF7956" w:rsidRDefault="008E3BA7" w:rsidP="008E3BA7">
                  <w:pPr>
                    <w:pStyle w:val="CM4"/>
                    <w:framePr w:hSpace="180" w:wrap="around" w:vAnchor="text" w:hAnchor="margin" w:y="137"/>
                    <w:spacing w:before="60" w:after="60"/>
                    <w:rPr>
                      <w:b/>
                      <w:bCs/>
                      <w:color w:val="000000"/>
                      <w:sz w:val="20"/>
                      <w:szCs w:val="20"/>
                    </w:rPr>
                  </w:pPr>
                </w:p>
              </w:tc>
              <w:tc>
                <w:tcPr>
                  <w:tcW w:w="3534" w:type="dxa"/>
                </w:tcPr>
                <w:p w14:paraId="00886573" w14:textId="77777777" w:rsidR="008E3BA7" w:rsidRPr="00BF7956" w:rsidRDefault="008E3BA7" w:rsidP="008E3BA7">
                  <w:pPr>
                    <w:pStyle w:val="CM4"/>
                    <w:framePr w:hSpace="180" w:wrap="around" w:vAnchor="text" w:hAnchor="margin" w:y="137"/>
                    <w:spacing w:before="60" w:after="60"/>
                    <w:rPr>
                      <w:b/>
                      <w:bCs/>
                      <w:color w:val="000000"/>
                      <w:sz w:val="20"/>
                      <w:szCs w:val="20"/>
                    </w:rPr>
                  </w:pPr>
                </w:p>
              </w:tc>
            </w:tr>
            <w:tr w:rsidR="008E3BA7" w:rsidRPr="002C43F1" w14:paraId="7247EA74" w14:textId="77777777" w:rsidTr="00144513">
              <w:tc>
                <w:tcPr>
                  <w:tcW w:w="856" w:type="dxa"/>
                </w:tcPr>
                <w:p w14:paraId="6026E321" w14:textId="00ECACBA" w:rsidR="008E3BA7" w:rsidRPr="00BF7956" w:rsidRDefault="00ED06A5" w:rsidP="008E3BA7">
                  <w:pPr>
                    <w:pStyle w:val="CM4"/>
                    <w:framePr w:hSpace="180" w:wrap="around" w:vAnchor="text" w:hAnchor="margin" w:y="137"/>
                    <w:spacing w:before="60" w:after="60"/>
                    <w:rPr>
                      <w:i/>
                      <w:iCs/>
                      <w:color w:val="000000"/>
                      <w:sz w:val="20"/>
                      <w:szCs w:val="20"/>
                    </w:rPr>
                  </w:pPr>
                  <w:r w:rsidRPr="00BF7956">
                    <w:rPr>
                      <w:b/>
                      <w:bCs/>
                      <w:color w:val="000000"/>
                      <w:sz w:val="20"/>
                      <w:szCs w:val="20"/>
                    </w:rPr>
                    <w:t>0</w:t>
                  </w:r>
                  <w:r w:rsidR="008E3BA7" w:rsidRPr="00BF7956">
                    <w:rPr>
                      <w:b/>
                      <w:bCs/>
                      <w:color w:val="000000"/>
                      <w:sz w:val="20"/>
                      <w:szCs w:val="20"/>
                    </w:rPr>
                    <w:t>730-1080</w:t>
                  </w:r>
                </w:p>
              </w:tc>
              <w:tc>
                <w:tcPr>
                  <w:tcW w:w="3534" w:type="dxa"/>
                </w:tcPr>
                <w:p w14:paraId="20884031" w14:textId="77777777" w:rsidR="00ED06A5" w:rsidRPr="00BF7956" w:rsidRDefault="00ED06A5" w:rsidP="00ED06A5">
                  <w:pPr>
                    <w:framePr w:hSpace="180" w:wrap="around" w:vAnchor="text" w:hAnchor="margin" w:y="137"/>
                    <w:spacing w:before="60" w:after="60"/>
                    <w:rPr>
                      <w:b/>
                      <w:bCs/>
                      <w:sz w:val="20"/>
                      <w:szCs w:val="20"/>
                      <w:lang w:val="ro-MD" w:eastAsia="en-US"/>
                    </w:rPr>
                  </w:pPr>
                  <w:r w:rsidRPr="00BF7956">
                    <w:rPr>
                      <w:b/>
                      <w:bCs/>
                      <w:sz w:val="20"/>
                      <w:szCs w:val="20"/>
                      <w:lang w:val="ro-MD" w:eastAsia="en-US"/>
                    </w:rPr>
                    <w:t>3 CAPACITATEA DE COMPENSARE</w:t>
                  </w:r>
                </w:p>
                <w:p w14:paraId="2613632E"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Secțiunea intitulată „Capacitatea de compensare” a formularului privind benzile de scadență cuprinde informații despre evoluția deținerilor de active, cu diferite grade de lichiditate, ale unei bănci, printre care active tranzacționabile și active eligibile la Banca Națională a Moldovei, precum și despre evoluția facilităților angajate contractual în favoarea băncii.</w:t>
                  </w:r>
                </w:p>
                <w:p w14:paraId="50D0AB36"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Raportarea la nivel consolidat cu privire la eligibilitatea la Banca Națională a Moldovei se bazează pe regulile de eligibilitate la Banca Națională a Moldovei care se aplică fiecărei bănci consolidate.</w:t>
                  </w:r>
                </w:p>
                <w:p w14:paraId="704505BD"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În cazurile în care capacitatea de compensare se referă la active tranzacționabile, băncile raportează activele tranzacționabile care sunt tranzacționate pe piețe la vedere sau repo mari, profunde și active, caracterizate de un nivel redus de concentrare.</w:t>
                  </w:r>
                </w:p>
                <w:p w14:paraId="22FA1CAC" w14:textId="77B15B9A"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 xml:space="preserve">Activele raportate în coloanele din secțiunea privind capacitatea de compensare trebuie să cuprindă </w:t>
                  </w:r>
                  <w:r w:rsidR="00B2799B">
                    <w:rPr>
                      <w:sz w:val="20"/>
                      <w:szCs w:val="20"/>
                      <w:lang w:val="ro-MD" w:eastAsia="en-US"/>
                    </w:rPr>
                    <w:t>doar</w:t>
                  </w:r>
                  <w:r w:rsidRPr="00BF7956">
                    <w:rPr>
                      <w:sz w:val="20"/>
                      <w:szCs w:val="20"/>
                      <w:lang w:val="ro-MD" w:eastAsia="en-US"/>
                    </w:rPr>
                    <w:t xml:space="preserve"> active negrevate care sunt disponibile pentru ca banca să le poată converti în numerar în orice moment pentru a completa deficitul contractual dintre intrările de numerar și ieșirile de numerar în perioada vizată. În acest sens, se aplică definiția activelor grevate de sarcini în conformitate cu Regulamentul nr.44/2020 privind cerințele de acoperire a necesarului de lichiditate pentru bănci. Activele nu se folosesc ca mijloc de ameliorare a calității creditului în tranzacțiile cu instrumente financiare structurate sau pentru a acoperi costurile operaționale, precum chiriile și salariile, și se gestionează cu intenția clară și unică de a fi utilizate ca sursă de fonduri de rezervă.</w:t>
                  </w:r>
                </w:p>
                <w:p w14:paraId="702AB372"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Activele pe care banca le-a primit ca garanții în tranzacțiile reverse repo și în operațiunile de finanțare prin instrumente financiare (SFT) pot fi considerate ca făcând parte din capacitatea de compensare dacă sunt păstrate în cadrul băncii, nu au fost reipotecate și se află, din punct de vedere juridic și contractual, la dispoziția băncii în vederea utilizării lor.</w:t>
                  </w:r>
                </w:p>
                <w:p w14:paraId="313308C3"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Pentru a evita dubla contabilizare, dacă banca raportează activele poziționate în prealabil la punctele 3.1-3.7, aceasta nu raportează capacitatea aferentă acestor facilități la punctul 3.8.</w:t>
                  </w:r>
                </w:p>
                <w:p w14:paraId="0DE3ED7F"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Băncile trebuie să raporteze ca stoc inițial în coloana 0010 activele care corespund descrierii unui rând și sunt disponibile la data raportării.</w:t>
                  </w:r>
                </w:p>
                <w:p w14:paraId="7C1ACDA4"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Coloanele 0020-0220 conțin fluxurile contractuale aferente capacității de compensare. În cazul în care o bancă a încheiat o tranzacție repo, activul cedat este reintrodus ca intrare de titluri de valoare în banda de scadență în care tranzacția repo ajunge la scadență. În consecință, ieșirea de numerar care decurge din tranzacția repo ajunsă la scadență se raportează în banda de scadență a ieșirii de numerar relevantă de la punctul 1.2. În cazul în care o bancă a încheiat o tranzacție reverse repo, activul dobândit este reintrodus ca ieșire de titluri de valoare în banda de scadență în care tranzacția repo ajunge la scadență. În consecință, intrarea de numerar care decurge din tranzacția repo ajunsă la scadență se raportează în banda de scadență a intrării de numerar relevantă de la punctul 2.1. Swap-urile pe garanții reale se raportează ca intrări și ieșiri contractuale de titluri de valoare în secțiunea privind capacitatea de compensare, în conformitate cu banda de scadență relevantă în care swap-urile ajung la scadență.</w:t>
                  </w:r>
                </w:p>
                <w:p w14:paraId="2B5008BC" w14:textId="0F2B2F66"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 xml:space="preserve">În ceea ce privește instrumentele financiare derivate garantate integral sau adecvat, restituirea garanţiilor reale care au fost deja primite sau plătite nu se raportează în formularul privind benzile de scadenţă. În ceea ce privește instrumentele financiare derivate garantate parţial, restituirea garanţiilor reale care au fost deja primite sau plătite se raportează în secţiunea </w:t>
                  </w:r>
                  <w:r w:rsidR="00B2799B">
                    <w:rPr>
                      <w:sz w:val="20"/>
                      <w:szCs w:val="20"/>
                      <w:lang w:val="ro-MD" w:eastAsia="en-US"/>
                    </w:rPr>
                    <w:t xml:space="preserve">a </w:t>
                  </w:r>
                  <w:r w:rsidRPr="00BF7956">
                    <w:rPr>
                      <w:sz w:val="20"/>
                      <w:szCs w:val="20"/>
                      <w:lang w:val="ro-MD" w:eastAsia="en-US"/>
                    </w:rPr>
                    <w:t>3</w:t>
                  </w:r>
                  <w:r w:rsidR="00B2799B">
                    <w:rPr>
                      <w:sz w:val="20"/>
                      <w:szCs w:val="20"/>
                      <w:lang w:val="ro-MD" w:eastAsia="en-US"/>
                    </w:rPr>
                    <w:t>-a</w:t>
                  </w:r>
                  <w:r w:rsidRPr="00BF7956">
                    <w:rPr>
                      <w:sz w:val="20"/>
                      <w:szCs w:val="20"/>
                      <w:lang w:val="ro-MD" w:eastAsia="en-US"/>
                    </w:rPr>
                    <w:t xml:space="preserve"> din formularul privind benzile de scadenţă. Restituirea garanţiilor reale deja primite (plătite) se reflectă ca o mutaţie negativă (pozitivă) în tranșa de timp corespunzătoare scadenţei instrumentului financiar derivat. O mutaţie pozitivă este recunoscută numai în cazul în care s-ar califica drept capacitate de compensare la returnare.</w:t>
                  </w:r>
                </w:p>
                <w:p w14:paraId="386BED63" w14:textId="66F95EAA"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O modificare a valorii disponibile din punct de vedere contractual a</w:t>
                  </w:r>
                  <w:r w:rsidR="00B2799B">
                    <w:rPr>
                      <w:sz w:val="20"/>
                      <w:szCs w:val="20"/>
                      <w:lang w:val="ro-MD" w:eastAsia="en-US"/>
                    </w:rPr>
                    <w:t>l</w:t>
                  </w:r>
                  <w:r w:rsidRPr="00BF7956">
                    <w:rPr>
                      <w:sz w:val="20"/>
                      <w:szCs w:val="20"/>
                      <w:lang w:val="ro-MD" w:eastAsia="en-US"/>
                    </w:rPr>
                    <w:t xml:space="preserve"> liniilor de credit și de lichiditate raportate la punctul 3.8 se raportează ca un flux în tranșa de timp relevantă. În cazul în care o bancă deține un depozit overnight la Banca Națională a Moldovei, valoarea depozitului se raportează ca stoc inițial la punctul 3.2. </w:t>
                  </w:r>
                </w:p>
                <w:p w14:paraId="1F7EC7AF"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Titlurile de valoare care ajung la scadență din secțiunea privind capacitatea de compensare se raportează în funcție de scadența lor contractuală. Atunci când un titlu de valoare ajunge la scadență, acesta se elimină din categoria de active unde a fost raportat inițial și trebuie tratat ca o ieșire de titluri de valoare, intrarea de numerar rezultată raportându-se la punctul 2.5.</w:t>
                  </w:r>
                </w:p>
                <w:p w14:paraId="5DBF3A72"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Toate titlurile de valoare se raportează în banda de scadență relevantă la valorile lor actuale de piață.</w:t>
                  </w:r>
                </w:p>
                <w:p w14:paraId="0C321842"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Numai cuantumurile disponibile contractual se raportează la punctul 3.8.</w:t>
                  </w:r>
                </w:p>
                <w:p w14:paraId="78D96494" w14:textId="77777777" w:rsidR="00ED06A5"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Pentru a evita dubla contabilizare, intrările de numerar nu trebuie luate în considerare la punctul 3.1 sau 3.2 din secțiunea privind capacitatea de compensare.</w:t>
                  </w:r>
                </w:p>
                <w:p w14:paraId="4C624D9A" w14:textId="46F48258" w:rsidR="008E3BA7" w:rsidRPr="00BF7956" w:rsidRDefault="00ED06A5" w:rsidP="00ED06A5">
                  <w:pPr>
                    <w:framePr w:hSpace="180" w:wrap="around" w:vAnchor="text" w:hAnchor="margin" w:y="137"/>
                    <w:spacing w:before="60" w:after="60"/>
                    <w:rPr>
                      <w:sz w:val="20"/>
                      <w:szCs w:val="20"/>
                      <w:lang w:val="ro-MD" w:eastAsia="en-US"/>
                    </w:rPr>
                  </w:pPr>
                  <w:r w:rsidRPr="00BF7956">
                    <w:rPr>
                      <w:sz w:val="20"/>
                      <w:szCs w:val="20"/>
                      <w:lang w:val="ro-MD" w:eastAsia="en-US"/>
                    </w:rPr>
                    <w:t>Elementele aferente capacității de compensare se raportează în următoarele subcategorii:</w:t>
                  </w:r>
                </w:p>
              </w:tc>
            </w:tr>
          </w:tbl>
          <w:p w14:paraId="79B2BC77"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8F5155E" w14:textId="3FD49B83"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D41A5F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A88E75E" w14:textId="77777777" w:rsidR="008E3BA7" w:rsidRPr="00BF7956" w:rsidRDefault="008E3BA7" w:rsidP="008E3BA7">
            <w:pPr>
              <w:jc w:val="both"/>
              <w:rPr>
                <w:sz w:val="20"/>
                <w:szCs w:val="20"/>
                <w:lang w:val="ro-RO"/>
              </w:rPr>
            </w:pPr>
          </w:p>
        </w:tc>
        <w:tc>
          <w:tcPr>
            <w:tcW w:w="992" w:type="dxa"/>
          </w:tcPr>
          <w:p w14:paraId="2120FDE8" w14:textId="77777777" w:rsidR="008E3BA7" w:rsidRPr="00BF7956" w:rsidRDefault="008E3BA7" w:rsidP="008E3BA7">
            <w:pPr>
              <w:jc w:val="both"/>
              <w:rPr>
                <w:sz w:val="20"/>
                <w:szCs w:val="20"/>
                <w:lang w:val="ro-RO"/>
              </w:rPr>
            </w:pPr>
          </w:p>
        </w:tc>
      </w:tr>
      <w:tr w:rsidR="008E3BA7" w:rsidRPr="00BF7956" w14:paraId="0134FCF7"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2C43F1" w14:paraId="0CA5DF9E" w14:textId="77777777" w:rsidTr="00FA0637">
              <w:tc>
                <w:tcPr>
                  <w:tcW w:w="856" w:type="dxa"/>
                </w:tcPr>
                <w:p w14:paraId="5B3C7428" w14:textId="0A54A47D"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730</w:t>
                  </w:r>
                </w:p>
              </w:tc>
              <w:tc>
                <w:tcPr>
                  <w:tcW w:w="3534" w:type="dxa"/>
                </w:tcPr>
                <w:p w14:paraId="6B8C04F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3.1</w:t>
                  </w:r>
                  <w:r w:rsidRPr="00BF7956">
                    <w:rPr>
                      <w:color w:val="000000"/>
                      <w:sz w:val="20"/>
                      <w:szCs w:val="20"/>
                    </w:rPr>
                    <w:t xml:space="preserve"> </w:t>
                  </w:r>
                  <w:r w:rsidRPr="00BF7956">
                    <w:rPr>
                      <w:b/>
                      <w:bCs/>
                      <w:color w:val="000000"/>
                      <w:sz w:val="20"/>
                      <w:szCs w:val="20"/>
                    </w:rPr>
                    <w:t xml:space="preserve">Monede și bancnote </w:t>
                  </w:r>
                </w:p>
                <w:p w14:paraId="3940F939" w14:textId="770A91E5"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Valoarea totală a numerarului sub formă de monede și bancnote</w:t>
                  </w:r>
                </w:p>
              </w:tc>
            </w:tr>
          </w:tbl>
          <w:p w14:paraId="6D6DED8E" w14:textId="77777777" w:rsidR="008E3BA7" w:rsidRPr="00BF7956" w:rsidRDefault="008E3BA7" w:rsidP="008E3BA7">
            <w:pPr>
              <w:pStyle w:val="CM4"/>
              <w:spacing w:before="60" w:after="60"/>
              <w:rPr>
                <w:color w:val="000000"/>
                <w:sz w:val="20"/>
                <w:szCs w:val="20"/>
                <w:lang w:val="ro-RO"/>
              </w:rPr>
            </w:pPr>
          </w:p>
        </w:tc>
        <w:tc>
          <w:tcPr>
            <w:tcW w:w="4536" w:type="dxa"/>
            <w:shd w:val="clear" w:color="auto" w:fill="auto"/>
          </w:tcPr>
          <w:tbl>
            <w:tblPr>
              <w:tblStyle w:val="TableGrid"/>
              <w:tblW w:w="4383" w:type="dxa"/>
              <w:tblLayout w:type="fixed"/>
              <w:tblLook w:val="04A0" w:firstRow="1" w:lastRow="0" w:firstColumn="1" w:lastColumn="0" w:noHBand="0" w:noVBand="1"/>
            </w:tblPr>
            <w:tblGrid>
              <w:gridCol w:w="840"/>
              <w:gridCol w:w="3543"/>
            </w:tblGrid>
            <w:tr w:rsidR="008E3BA7" w:rsidRPr="00BF7956" w14:paraId="0E2EC5DB" w14:textId="77777777" w:rsidTr="00FA0637">
              <w:tc>
                <w:tcPr>
                  <w:tcW w:w="840" w:type="dxa"/>
                </w:tcPr>
                <w:p w14:paraId="4AB9CA1E" w14:textId="4E9E5A91"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730</w:t>
                  </w:r>
                </w:p>
              </w:tc>
              <w:tc>
                <w:tcPr>
                  <w:tcW w:w="3543" w:type="dxa"/>
                </w:tcPr>
                <w:p w14:paraId="5022217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3.1</w:t>
                  </w:r>
                  <w:r w:rsidRPr="00BF7956">
                    <w:rPr>
                      <w:color w:val="000000"/>
                      <w:sz w:val="20"/>
                      <w:szCs w:val="20"/>
                    </w:rPr>
                    <w:t xml:space="preserve"> </w:t>
                  </w:r>
                  <w:r w:rsidRPr="00BF7956">
                    <w:rPr>
                      <w:b/>
                      <w:bCs/>
                      <w:color w:val="000000"/>
                      <w:sz w:val="20"/>
                      <w:szCs w:val="20"/>
                    </w:rPr>
                    <w:t xml:space="preserve">Monede și bancnote </w:t>
                  </w:r>
                </w:p>
                <w:p w14:paraId="548BB1BF" w14:textId="2C054132" w:rsidR="008E3BA7" w:rsidRPr="00BF7956" w:rsidRDefault="008E3BA7" w:rsidP="008E3BA7">
                  <w:pPr>
                    <w:pStyle w:val="CM4"/>
                    <w:framePr w:hSpace="180" w:wrap="around" w:vAnchor="text" w:hAnchor="margin" w:y="137"/>
                    <w:spacing w:before="60" w:after="60"/>
                    <w:rPr>
                      <w:color w:val="000000"/>
                      <w:sz w:val="20"/>
                      <w:szCs w:val="20"/>
                    </w:rPr>
                  </w:pPr>
                </w:p>
              </w:tc>
            </w:tr>
          </w:tbl>
          <w:p w14:paraId="2D3F4285"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EE7AB60" w14:textId="0932AE86" w:rsidR="008E3BA7" w:rsidRPr="00BF7956" w:rsidRDefault="008E3BA7" w:rsidP="008E3BA7">
            <w:pPr>
              <w:rPr>
                <w:b/>
                <w:strike/>
                <w:sz w:val="20"/>
                <w:szCs w:val="20"/>
                <w:lang w:val="ro-RO"/>
              </w:rPr>
            </w:pPr>
            <w:r w:rsidRPr="00BF7956">
              <w:rPr>
                <w:bCs/>
                <w:sz w:val="20"/>
                <w:szCs w:val="20"/>
                <w:lang w:val="ro-RO"/>
              </w:rPr>
              <w:t>Compati</w:t>
            </w:r>
            <w:r w:rsidR="00D22473" w:rsidRPr="00BF7956">
              <w:rPr>
                <w:bCs/>
                <w:sz w:val="20"/>
                <w:szCs w:val="20"/>
                <w:lang w:val="ro-RO"/>
              </w:rPr>
              <w:t>bil</w:t>
            </w:r>
          </w:p>
        </w:tc>
        <w:tc>
          <w:tcPr>
            <w:tcW w:w="2223" w:type="dxa"/>
          </w:tcPr>
          <w:p w14:paraId="48A6718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45DC7AB" w14:textId="77777777" w:rsidR="008E3BA7" w:rsidRPr="00BF7956" w:rsidRDefault="008E3BA7" w:rsidP="008E3BA7">
            <w:pPr>
              <w:jc w:val="both"/>
              <w:rPr>
                <w:sz w:val="20"/>
                <w:szCs w:val="20"/>
                <w:lang w:val="ro-RO"/>
              </w:rPr>
            </w:pPr>
          </w:p>
        </w:tc>
        <w:tc>
          <w:tcPr>
            <w:tcW w:w="992" w:type="dxa"/>
          </w:tcPr>
          <w:p w14:paraId="0CC1C87C" w14:textId="77777777" w:rsidR="008E3BA7" w:rsidRPr="00BF7956" w:rsidRDefault="008E3BA7" w:rsidP="008E3BA7">
            <w:pPr>
              <w:jc w:val="both"/>
              <w:rPr>
                <w:sz w:val="20"/>
                <w:szCs w:val="20"/>
                <w:lang w:val="ro-RO"/>
              </w:rPr>
            </w:pPr>
          </w:p>
        </w:tc>
      </w:tr>
      <w:tr w:rsidR="008E3BA7" w:rsidRPr="00BF7956" w14:paraId="32E76A08"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5857B336" w14:textId="77777777" w:rsidTr="00FA0637">
              <w:tc>
                <w:tcPr>
                  <w:tcW w:w="856" w:type="dxa"/>
                </w:tcPr>
                <w:p w14:paraId="0B009D0D" w14:textId="6C36F612"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740</w:t>
                  </w:r>
                </w:p>
              </w:tc>
              <w:tc>
                <w:tcPr>
                  <w:tcW w:w="3534" w:type="dxa"/>
                </w:tcPr>
                <w:p w14:paraId="27EBE57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3.2</w:t>
                  </w:r>
                  <w:r w:rsidRPr="00BF7956">
                    <w:rPr>
                      <w:color w:val="000000"/>
                      <w:sz w:val="20"/>
                      <w:szCs w:val="20"/>
                    </w:rPr>
                    <w:t xml:space="preserve"> </w:t>
                  </w:r>
                  <w:r w:rsidRPr="00BF7956">
                    <w:rPr>
                      <w:b/>
                      <w:bCs/>
                      <w:color w:val="000000"/>
                      <w:sz w:val="20"/>
                      <w:szCs w:val="20"/>
                    </w:rPr>
                    <w:t xml:space="preserve">Rezerve la bănci centrale care pot fi retrase </w:t>
                  </w:r>
                </w:p>
                <w:p w14:paraId="3195BBF0" w14:textId="5ACCEF68" w:rsidR="008E3BA7" w:rsidRPr="00BF7956" w:rsidRDefault="00EE0F81" w:rsidP="008E3BA7">
                  <w:pPr>
                    <w:pStyle w:val="CM4"/>
                    <w:framePr w:hSpace="180" w:wrap="around" w:vAnchor="text" w:hAnchor="margin" w:y="137"/>
                    <w:spacing w:before="60" w:after="60"/>
                    <w:rPr>
                      <w:color w:val="000000"/>
                      <w:sz w:val="20"/>
                      <w:szCs w:val="20"/>
                    </w:rPr>
                  </w:pPr>
                  <w:r w:rsidRPr="00BF7956">
                    <w:rPr>
                      <w:color w:val="000000"/>
                      <w:sz w:val="20"/>
                      <w:szCs w:val="20"/>
                    </w:rPr>
                    <w:t>Cuantumul total al rezervelor constituite la bănci centrale în conformitate cu articolul 10 alineatul (1) litera (b) punctul (iii) din Regulamentul delegat (UE) 2015/61 care pot fi retrase cel târziu overnight. Titlurile de valoare care reprezintă creanţe asupra băncilor centrale sau care sunt garantate de bănci centrale nu se raportează aici. Acest cuantum se raportează numai în coloana „Stoc iniţial” și nu se raportează ca intrare provenită de la băncile centrale la punctul 2.2.5</w:t>
                  </w:r>
                </w:p>
              </w:tc>
            </w:tr>
          </w:tbl>
          <w:p w14:paraId="2F6C3CDD"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7A20A89A" w14:textId="77777777" w:rsidTr="00144513">
              <w:tc>
                <w:tcPr>
                  <w:tcW w:w="856" w:type="dxa"/>
                </w:tcPr>
                <w:p w14:paraId="2A15C2EC" w14:textId="785DF3BD"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740</w:t>
                  </w:r>
                </w:p>
              </w:tc>
              <w:tc>
                <w:tcPr>
                  <w:tcW w:w="3534" w:type="dxa"/>
                </w:tcPr>
                <w:p w14:paraId="785E59D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01940">
                    <w:rPr>
                      <w:b/>
                      <w:bCs/>
                      <w:color w:val="000000"/>
                      <w:sz w:val="20"/>
                      <w:szCs w:val="20"/>
                    </w:rPr>
                    <w:t>3.2</w:t>
                  </w:r>
                  <w:r w:rsidRPr="00BF7956">
                    <w:rPr>
                      <w:color w:val="000000"/>
                      <w:sz w:val="20"/>
                      <w:szCs w:val="20"/>
                    </w:rPr>
                    <w:t xml:space="preserve"> </w:t>
                  </w:r>
                  <w:r w:rsidRPr="00BF7956">
                    <w:rPr>
                      <w:b/>
                      <w:bCs/>
                      <w:color w:val="000000"/>
                      <w:sz w:val="20"/>
                      <w:szCs w:val="20"/>
                    </w:rPr>
                    <w:t xml:space="preserve">Rezerve la bănci centrale care pot fi retrase </w:t>
                  </w:r>
                </w:p>
                <w:p w14:paraId="1FE39D92" w14:textId="475C882E" w:rsidR="008E3BA7" w:rsidRPr="00BF7956" w:rsidRDefault="008E3BA7" w:rsidP="008E3BA7">
                  <w:pPr>
                    <w:pStyle w:val="CM4"/>
                    <w:framePr w:hSpace="180" w:wrap="around" w:vAnchor="text" w:hAnchor="margin" w:y="137"/>
                    <w:spacing w:before="60"/>
                    <w:rPr>
                      <w:color w:val="000000"/>
                      <w:sz w:val="20"/>
                      <w:szCs w:val="20"/>
                    </w:rPr>
                  </w:pPr>
                </w:p>
              </w:tc>
            </w:tr>
          </w:tbl>
          <w:p w14:paraId="6667B62F"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3C5295A" w14:textId="7F74E78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DD03A56"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85ACA83" w14:textId="77777777" w:rsidR="008E3BA7" w:rsidRPr="00BF7956" w:rsidRDefault="008E3BA7" w:rsidP="008E3BA7">
            <w:pPr>
              <w:jc w:val="both"/>
              <w:rPr>
                <w:sz w:val="20"/>
                <w:szCs w:val="20"/>
                <w:lang w:val="ro-RO"/>
              </w:rPr>
            </w:pPr>
          </w:p>
        </w:tc>
        <w:tc>
          <w:tcPr>
            <w:tcW w:w="992" w:type="dxa"/>
          </w:tcPr>
          <w:p w14:paraId="3E17D231" w14:textId="77777777" w:rsidR="008E3BA7" w:rsidRPr="00BF7956" w:rsidRDefault="008E3BA7" w:rsidP="008E3BA7">
            <w:pPr>
              <w:jc w:val="both"/>
              <w:rPr>
                <w:sz w:val="20"/>
                <w:szCs w:val="20"/>
                <w:lang w:val="ro-RO"/>
              </w:rPr>
            </w:pPr>
          </w:p>
        </w:tc>
      </w:tr>
      <w:tr w:rsidR="008E3BA7" w:rsidRPr="00BF7956" w14:paraId="66924B9D"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03B4E111" w14:textId="77777777" w:rsidTr="00FA0637">
              <w:tc>
                <w:tcPr>
                  <w:tcW w:w="856" w:type="dxa"/>
                </w:tcPr>
                <w:p w14:paraId="37831455" w14:textId="030954D5"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750</w:t>
                  </w:r>
                </w:p>
              </w:tc>
              <w:tc>
                <w:tcPr>
                  <w:tcW w:w="3534" w:type="dxa"/>
                </w:tcPr>
                <w:p w14:paraId="1FE4F8FC" w14:textId="77777777" w:rsidR="00EE0F81"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3.3</w:t>
                  </w:r>
                  <w:r w:rsidRPr="00BF7956">
                    <w:rPr>
                      <w:color w:val="000000"/>
                      <w:sz w:val="20"/>
                      <w:szCs w:val="20"/>
                    </w:rPr>
                    <w:t xml:space="preserve"> </w:t>
                  </w:r>
                  <w:r w:rsidRPr="00BF7956">
                    <w:rPr>
                      <w:b/>
                      <w:bCs/>
                      <w:color w:val="000000"/>
                      <w:sz w:val="20"/>
                      <w:szCs w:val="20"/>
                    </w:rPr>
                    <w:t xml:space="preserve">Active tranzacţionabile de nivel 1 </w:t>
                  </w:r>
                  <w:r w:rsidRPr="00BF7956">
                    <w:rPr>
                      <w:color w:val="000000"/>
                      <w:sz w:val="20"/>
                      <w:szCs w:val="20"/>
                    </w:rPr>
                    <w:t>Valoarea de piaţă a activelor tranzacţionabile în conformitate cu articolele 7, 8 și 10 din Regulamentul delegat (UE) 2015/61</w:t>
                  </w:r>
                  <w:r w:rsidR="00EE0F81" w:rsidRPr="00BF7956">
                    <w:rPr>
                      <w:color w:val="000000"/>
                      <w:sz w:val="20"/>
                      <w:szCs w:val="20"/>
                    </w:rPr>
                    <w:t>.</w:t>
                  </w:r>
                </w:p>
                <w:p w14:paraId="3AAFC211" w14:textId="2E309279"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Acţiunile sau unităţile deţinute în OPC-uri în conformitate cu articolul 15 din Regulamentul delegat (UE) 2015/61 care se califică drept active de nivel 1 se raportează în subcategoriile de mai jos corespunzătoare activelor-suport ale acestora.</w:t>
                  </w:r>
                </w:p>
              </w:tc>
            </w:tr>
          </w:tbl>
          <w:p w14:paraId="7E3615D5" w14:textId="77777777" w:rsidR="008E3BA7" w:rsidRPr="00BF7956" w:rsidRDefault="008E3BA7" w:rsidP="008E3BA7">
            <w:pPr>
              <w:rPr>
                <w:sz w:val="20"/>
                <w:szCs w:val="20"/>
                <w:lang w:val="ro-MD" w:eastAsia="en-US"/>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7FA841B" w14:textId="77777777" w:rsidTr="00144513">
              <w:tc>
                <w:tcPr>
                  <w:tcW w:w="856" w:type="dxa"/>
                </w:tcPr>
                <w:p w14:paraId="5B76A3BC" w14:textId="4F230697" w:rsidR="008E3BA7" w:rsidRPr="00BF7956" w:rsidRDefault="00D2247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750</w:t>
                  </w:r>
                </w:p>
              </w:tc>
              <w:tc>
                <w:tcPr>
                  <w:tcW w:w="3534" w:type="dxa"/>
                </w:tcPr>
                <w:p w14:paraId="1ADAC3A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w:t>
                  </w:r>
                  <w:r w:rsidRPr="00BF7956">
                    <w:rPr>
                      <w:color w:val="000000"/>
                      <w:sz w:val="20"/>
                      <w:szCs w:val="20"/>
                    </w:rPr>
                    <w:t xml:space="preserve"> </w:t>
                  </w:r>
                  <w:r w:rsidRPr="00BF7956">
                    <w:rPr>
                      <w:b/>
                      <w:bCs/>
                      <w:color w:val="000000"/>
                      <w:sz w:val="20"/>
                      <w:szCs w:val="20"/>
                    </w:rPr>
                    <w:t xml:space="preserve">Active tranzacţionabile de nivel 1 </w:t>
                  </w:r>
                </w:p>
                <w:p w14:paraId="3044B73A" w14:textId="2D729A9F" w:rsidR="00D22473" w:rsidRPr="00BF7956" w:rsidRDefault="00D22473" w:rsidP="00D22473">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Valoarea de piață a activelor tranzacționabile în conformitate cu punctele 21-29</w:t>
                  </w:r>
                  <w:r w:rsidR="00B2799B">
                    <w:rPr>
                      <w:color w:val="333333"/>
                      <w:sz w:val="20"/>
                      <w:szCs w:val="20"/>
                      <w:lang w:val="it-IT" w:eastAsia="ro-MD"/>
                    </w:rPr>
                    <w:t>,</w:t>
                  </w:r>
                  <w:r w:rsidRPr="00BF7956">
                    <w:rPr>
                      <w:color w:val="333333"/>
                      <w:sz w:val="20"/>
                      <w:szCs w:val="20"/>
                      <w:lang w:val="it-IT" w:eastAsia="ro-MD"/>
                    </w:rPr>
                    <w:t xml:space="preserve"> 31 și 32 din Regulamentul nr.44/2020 privind cerinţele de acoperire a necesarului de lichiditate pentru bănci. </w:t>
                  </w:r>
                </w:p>
                <w:p w14:paraId="71745C01" w14:textId="573609CE" w:rsidR="008E3BA7" w:rsidRPr="00BF7956" w:rsidRDefault="00D22473" w:rsidP="00D22473">
                  <w:pPr>
                    <w:framePr w:hSpace="180" w:wrap="around" w:vAnchor="text" w:hAnchor="margin" w:y="137"/>
                    <w:rPr>
                      <w:sz w:val="20"/>
                      <w:szCs w:val="20"/>
                      <w:lang w:val="ro-MD" w:eastAsia="en-US"/>
                    </w:rPr>
                  </w:pPr>
                  <w:r w:rsidRPr="00BF7956">
                    <w:rPr>
                      <w:color w:val="333333"/>
                      <w:sz w:val="20"/>
                      <w:szCs w:val="20"/>
                      <w:lang w:val="it-IT" w:eastAsia="ro-MD"/>
                    </w:rPr>
                    <w:t>Acțiunile sau unitățile deținute în OPC-uri în conformitate cu punctele 37-41 din Regulamentul nr.44/2020 privind cerinţele de acoperire a necesarului de lichiditate pentru bănci care se califică drept active de nivel 1 se raportează în subcategoriile de mai jos corespunzătoare activelor-suport ale acestora.</w:t>
                  </w:r>
                </w:p>
              </w:tc>
            </w:tr>
          </w:tbl>
          <w:p w14:paraId="7BF08516" w14:textId="77777777" w:rsidR="008E3BA7" w:rsidRPr="00BF7956" w:rsidRDefault="008E3BA7" w:rsidP="008E3BA7">
            <w:pPr>
              <w:autoSpaceDE w:val="0"/>
              <w:autoSpaceDN w:val="0"/>
              <w:adjustRightInd w:val="0"/>
              <w:spacing w:before="60" w:after="60"/>
              <w:rPr>
                <w:color w:val="000000"/>
                <w:sz w:val="20"/>
                <w:szCs w:val="20"/>
                <w:lang w:val="ro-RO"/>
              </w:rPr>
            </w:pPr>
          </w:p>
        </w:tc>
        <w:tc>
          <w:tcPr>
            <w:tcW w:w="1418" w:type="dxa"/>
          </w:tcPr>
          <w:p w14:paraId="552E8ECF" w14:textId="7BCD6DA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62971B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EFD57FF" w14:textId="77777777" w:rsidR="008E3BA7" w:rsidRPr="00BF7956" w:rsidRDefault="008E3BA7" w:rsidP="008E3BA7">
            <w:pPr>
              <w:jc w:val="both"/>
              <w:rPr>
                <w:sz w:val="20"/>
                <w:szCs w:val="20"/>
                <w:lang w:val="ro-RO"/>
              </w:rPr>
            </w:pPr>
          </w:p>
        </w:tc>
        <w:tc>
          <w:tcPr>
            <w:tcW w:w="992" w:type="dxa"/>
          </w:tcPr>
          <w:p w14:paraId="4825A0B0" w14:textId="77777777" w:rsidR="008E3BA7" w:rsidRPr="00BF7956" w:rsidRDefault="008E3BA7" w:rsidP="008E3BA7">
            <w:pPr>
              <w:jc w:val="both"/>
              <w:rPr>
                <w:sz w:val="20"/>
                <w:szCs w:val="20"/>
                <w:lang w:val="ro-RO"/>
              </w:rPr>
            </w:pPr>
          </w:p>
        </w:tc>
      </w:tr>
      <w:tr w:rsidR="008E3BA7" w:rsidRPr="00BF7956" w14:paraId="4ED71A80"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39311E85" w14:textId="77777777" w:rsidTr="009455FC">
              <w:tc>
                <w:tcPr>
                  <w:tcW w:w="856" w:type="dxa"/>
                </w:tcPr>
                <w:p w14:paraId="4D2B0950" w14:textId="186FE4E8"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760</w:t>
                  </w:r>
                </w:p>
              </w:tc>
              <w:tc>
                <w:tcPr>
                  <w:tcW w:w="3534" w:type="dxa"/>
                </w:tcPr>
                <w:p w14:paraId="4F71CC9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3.3.1</w:t>
                  </w:r>
                  <w:r w:rsidRPr="00BF7956">
                    <w:rPr>
                      <w:color w:val="000000"/>
                      <w:sz w:val="20"/>
                      <w:szCs w:val="20"/>
                    </w:rPr>
                    <w:t xml:space="preserve"> </w:t>
                  </w:r>
                  <w:r w:rsidRPr="00BF7956">
                    <w:rPr>
                      <w:b/>
                      <w:bCs/>
                      <w:color w:val="000000"/>
                      <w:sz w:val="20"/>
                      <w:szCs w:val="20"/>
                    </w:rPr>
                    <w:t xml:space="preserve">Active de nivel 1, exceptând obligaţiunile garantate </w:t>
                  </w:r>
                </w:p>
                <w:p w14:paraId="07112E7D" w14:textId="4429DE38"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raportat </w:t>
                  </w:r>
                  <w:r w:rsidR="00EE0F81" w:rsidRPr="00BF7956">
                    <w:rPr>
                      <w:sz w:val="20"/>
                      <w:szCs w:val="20"/>
                    </w:rPr>
                    <w:t xml:space="preserve"> </w:t>
                  </w:r>
                  <w:r w:rsidR="00EE0F81" w:rsidRPr="00BF7956">
                    <w:rPr>
                      <w:color w:val="000000"/>
                      <w:sz w:val="20"/>
                      <w:szCs w:val="20"/>
                    </w:rPr>
                    <w:t xml:space="preserve">la punctul 3.3 </w:t>
                  </w:r>
                  <w:r w:rsidRPr="00BF7956">
                    <w:rPr>
                      <w:color w:val="000000"/>
                      <w:sz w:val="20"/>
                      <w:szCs w:val="20"/>
                    </w:rPr>
                    <w:t>care nu constă în obligaţiuni garantate</w:t>
                  </w:r>
                  <w:r w:rsidR="00EE0F81" w:rsidRPr="00BF7956">
                    <w:rPr>
                      <w:color w:val="000000"/>
                      <w:sz w:val="20"/>
                      <w:szCs w:val="20"/>
                    </w:rPr>
                    <w:t>.</w:t>
                  </w:r>
                </w:p>
              </w:tc>
            </w:tr>
          </w:tbl>
          <w:p w14:paraId="78924349"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4704DD96" w14:textId="77777777" w:rsidTr="00144513">
              <w:tc>
                <w:tcPr>
                  <w:tcW w:w="856" w:type="dxa"/>
                </w:tcPr>
                <w:p w14:paraId="7242B868" w14:textId="0DC0B822" w:rsidR="008E3BA7" w:rsidRPr="00BF7956" w:rsidRDefault="00D22473"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0</w:t>
                  </w:r>
                  <w:r w:rsidR="008E3BA7" w:rsidRPr="00BF7956">
                    <w:rPr>
                      <w:color w:val="000000"/>
                      <w:sz w:val="20"/>
                      <w:szCs w:val="20"/>
                    </w:rPr>
                    <w:t>760</w:t>
                  </w:r>
                </w:p>
              </w:tc>
              <w:tc>
                <w:tcPr>
                  <w:tcW w:w="3534" w:type="dxa"/>
                </w:tcPr>
                <w:p w14:paraId="5592B201"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3.3.1</w:t>
                  </w:r>
                  <w:r w:rsidRPr="00BF7956">
                    <w:rPr>
                      <w:color w:val="000000"/>
                      <w:sz w:val="20"/>
                      <w:szCs w:val="20"/>
                    </w:rPr>
                    <w:t xml:space="preserve"> </w:t>
                  </w:r>
                  <w:r w:rsidRPr="00BF7956">
                    <w:rPr>
                      <w:b/>
                      <w:bCs/>
                      <w:color w:val="000000"/>
                      <w:sz w:val="20"/>
                      <w:szCs w:val="20"/>
                    </w:rPr>
                    <w:t xml:space="preserve">Active de nivel 1, exceptând obligaţiunile garantate </w:t>
                  </w:r>
                </w:p>
                <w:p w14:paraId="35EC5851" w14:textId="06C4B837" w:rsidR="008E3BA7" w:rsidRPr="00BF7956" w:rsidRDefault="00D22473" w:rsidP="008E3BA7">
                  <w:pPr>
                    <w:framePr w:hSpace="180" w:wrap="around" w:vAnchor="text" w:hAnchor="margin" w:y="137"/>
                    <w:rPr>
                      <w:sz w:val="20"/>
                      <w:szCs w:val="20"/>
                      <w:lang w:val="it-IT" w:eastAsia="en-US"/>
                    </w:rPr>
                  </w:pPr>
                  <w:r w:rsidRPr="00BF7956">
                    <w:rPr>
                      <w:color w:val="000000"/>
                      <w:sz w:val="20"/>
                      <w:szCs w:val="20"/>
                      <w:lang w:val="it-IT"/>
                    </w:rPr>
                    <w:t>Cuantumul raportat la punctul 3.3 care nu constă în obligațiuni garantate.</w:t>
                  </w:r>
                </w:p>
              </w:tc>
            </w:tr>
          </w:tbl>
          <w:p w14:paraId="1E2C416E"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2D6E0D2" w14:textId="12F4950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87B932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7CA4313" w14:textId="77777777" w:rsidR="008E3BA7" w:rsidRPr="00BF7956" w:rsidRDefault="008E3BA7" w:rsidP="008E3BA7">
            <w:pPr>
              <w:jc w:val="both"/>
              <w:rPr>
                <w:sz w:val="20"/>
                <w:szCs w:val="20"/>
                <w:lang w:val="ro-RO"/>
              </w:rPr>
            </w:pPr>
          </w:p>
        </w:tc>
        <w:tc>
          <w:tcPr>
            <w:tcW w:w="992" w:type="dxa"/>
          </w:tcPr>
          <w:p w14:paraId="157BF0F1" w14:textId="77777777" w:rsidR="008E3BA7" w:rsidRPr="00BF7956" w:rsidRDefault="008E3BA7" w:rsidP="008E3BA7">
            <w:pPr>
              <w:jc w:val="both"/>
              <w:rPr>
                <w:sz w:val="20"/>
                <w:szCs w:val="20"/>
                <w:lang w:val="ro-RO"/>
              </w:rPr>
            </w:pPr>
          </w:p>
        </w:tc>
      </w:tr>
      <w:tr w:rsidR="008E3BA7" w:rsidRPr="00BF7956" w14:paraId="4A1259F7"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4BB6AACC" w14:textId="77777777" w:rsidTr="009455FC">
              <w:tc>
                <w:tcPr>
                  <w:tcW w:w="856" w:type="dxa"/>
                </w:tcPr>
                <w:p w14:paraId="2C6C9522" w14:textId="397371AC"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770</w:t>
                  </w:r>
                </w:p>
              </w:tc>
              <w:tc>
                <w:tcPr>
                  <w:tcW w:w="3534" w:type="dxa"/>
                </w:tcPr>
                <w:p w14:paraId="3AD8850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3.3.1.1</w:t>
                  </w:r>
                  <w:r w:rsidRPr="00BF7956">
                    <w:rPr>
                      <w:color w:val="000000"/>
                      <w:sz w:val="20"/>
                      <w:szCs w:val="20"/>
                    </w:rPr>
                    <w:t xml:space="preserve"> </w:t>
                  </w:r>
                  <w:r w:rsidRPr="00BF7956">
                    <w:rPr>
                      <w:b/>
                      <w:bCs/>
                      <w:color w:val="000000"/>
                      <w:sz w:val="20"/>
                      <w:szCs w:val="20"/>
                    </w:rPr>
                    <w:t xml:space="preserve">Active de nivel 1 aferente băncilor centrale </w:t>
                  </w:r>
                </w:p>
                <w:p w14:paraId="5CA1F166" w14:textId="4525548F"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raportat </w:t>
                  </w:r>
                  <w:r w:rsidR="00EE0F81" w:rsidRPr="00BF7956">
                    <w:rPr>
                      <w:sz w:val="20"/>
                      <w:szCs w:val="20"/>
                    </w:rPr>
                    <w:t xml:space="preserve"> </w:t>
                  </w:r>
                  <w:r w:rsidR="00EE0F81" w:rsidRPr="00BF7956">
                    <w:rPr>
                      <w:color w:val="000000"/>
                      <w:sz w:val="20"/>
                      <w:szCs w:val="20"/>
                    </w:rPr>
                    <w:t xml:space="preserve">la punctul 3.3.1 </w:t>
                  </w:r>
                  <w:r w:rsidRPr="00BF7956">
                    <w:rPr>
                      <w:color w:val="000000"/>
                      <w:sz w:val="20"/>
                      <w:szCs w:val="20"/>
                    </w:rPr>
                    <w:t>care constă în active care reprezintă creanţe asupra băncilor centrale sau garantate de acestea</w:t>
                  </w:r>
                  <w:r w:rsidR="00EE0F81" w:rsidRPr="00BF7956">
                    <w:rPr>
                      <w:color w:val="000000"/>
                      <w:sz w:val="20"/>
                      <w:szCs w:val="20"/>
                    </w:rPr>
                    <w:t>.</w:t>
                  </w:r>
                </w:p>
              </w:tc>
            </w:tr>
          </w:tbl>
          <w:p w14:paraId="15109C4D"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6328D499" w14:textId="77777777" w:rsidTr="00144513">
              <w:tc>
                <w:tcPr>
                  <w:tcW w:w="856" w:type="dxa"/>
                </w:tcPr>
                <w:p w14:paraId="35225314" w14:textId="43DBD1C6"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770</w:t>
                  </w:r>
                </w:p>
              </w:tc>
              <w:tc>
                <w:tcPr>
                  <w:tcW w:w="3534" w:type="dxa"/>
                </w:tcPr>
                <w:p w14:paraId="00D9F57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3.3.1.1</w:t>
                  </w:r>
                  <w:r w:rsidRPr="00BF7956">
                    <w:rPr>
                      <w:color w:val="000000"/>
                      <w:sz w:val="20"/>
                      <w:szCs w:val="20"/>
                    </w:rPr>
                    <w:t xml:space="preserve"> </w:t>
                  </w:r>
                  <w:r w:rsidRPr="00BF7956">
                    <w:rPr>
                      <w:b/>
                      <w:bCs/>
                      <w:color w:val="000000"/>
                      <w:sz w:val="20"/>
                      <w:szCs w:val="20"/>
                    </w:rPr>
                    <w:t xml:space="preserve">Active de nivel 1 aferente băncilor centrale </w:t>
                  </w:r>
                </w:p>
                <w:p w14:paraId="44AAAFD8" w14:textId="0C334858" w:rsidR="008E3BA7" w:rsidRPr="00BF7956" w:rsidRDefault="00D22473"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raportat la punctul 3.3.1 care constă în active care reprezintă creanțe </w:t>
                  </w:r>
                  <w:r w:rsidR="00B2799B">
                    <w:rPr>
                      <w:color w:val="000000"/>
                      <w:sz w:val="20"/>
                      <w:szCs w:val="20"/>
                    </w:rPr>
                    <w:t xml:space="preserve"> față de </w:t>
                  </w:r>
                  <w:r w:rsidRPr="00BF7956">
                    <w:rPr>
                      <w:color w:val="000000"/>
                      <w:sz w:val="20"/>
                      <w:szCs w:val="20"/>
                    </w:rPr>
                    <w:t>băncil</w:t>
                  </w:r>
                  <w:r w:rsidR="00B2799B">
                    <w:rPr>
                      <w:color w:val="000000"/>
                      <w:sz w:val="20"/>
                      <w:szCs w:val="20"/>
                    </w:rPr>
                    <w:t>e</w:t>
                  </w:r>
                  <w:r w:rsidRPr="00BF7956">
                    <w:rPr>
                      <w:color w:val="000000"/>
                      <w:sz w:val="20"/>
                      <w:szCs w:val="20"/>
                    </w:rPr>
                    <w:t xml:space="preserve"> centrale sau garantate de acestea.</w:t>
                  </w:r>
                </w:p>
              </w:tc>
            </w:tr>
          </w:tbl>
          <w:p w14:paraId="3948E840"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D02B485" w14:textId="75B9978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BD420E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3FF9F9B" w14:textId="77777777" w:rsidR="008E3BA7" w:rsidRPr="00BF7956" w:rsidRDefault="008E3BA7" w:rsidP="008E3BA7">
            <w:pPr>
              <w:jc w:val="both"/>
              <w:rPr>
                <w:sz w:val="20"/>
                <w:szCs w:val="20"/>
                <w:lang w:val="ro-RO"/>
              </w:rPr>
            </w:pPr>
          </w:p>
        </w:tc>
        <w:tc>
          <w:tcPr>
            <w:tcW w:w="992" w:type="dxa"/>
          </w:tcPr>
          <w:p w14:paraId="009AB4AF" w14:textId="77777777" w:rsidR="008E3BA7" w:rsidRPr="00BF7956" w:rsidRDefault="008E3BA7" w:rsidP="008E3BA7">
            <w:pPr>
              <w:jc w:val="both"/>
              <w:rPr>
                <w:sz w:val="20"/>
                <w:szCs w:val="20"/>
                <w:lang w:val="ro-RO"/>
              </w:rPr>
            </w:pPr>
          </w:p>
        </w:tc>
      </w:tr>
      <w:tr w:rsidR="008E3BA7" w:rsidRPr="00BF7956" w14:paraId="5F631DB4"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5FA34548" w14:textId="77777777" w:rsidTr="009455FC">
              <w:tc>
                <w:tcPr>
                  <w:tcW w:w="856" w:type="dxa"/>
                </w:tcPr>
                <w:p w14:paraId="39C33EA8" w14:textId="153EF63E"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780</w:t>
                  </w:r>
                </w:p>
              </w:tc>
              <w:tc>
                <w:tcPr>
                  <w:tcW w:w="3534" w:type="dxa"/>
                </w:tcPr>
                <w:p w14:paraId="1247981D" w14:textId="6891D587" w:rsidR="008E3BA7"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3.3.1.2</w:t>
                  </w:r>
                  <w:r w:rsidRPr="00BF7956">
                    <w:rPr>
                      <w:color w:val="000000"/>
                      <w:sz w:val="20"/>
                      <w:szCs w:val="20"/>
                    </w:rPr>
                    <w:t xml:space="preserve"> </w:t>
                  </w:r>
                  <w:r w:rsidRPr="00BF7956">
                    <w:rPr>
                      <w:b/>
                      <w:bCs/>
                      <w:color w:val="000000"/>
                      <w:sz w:val="20"/>
                      <w:szCs w:val="20"/>
                    </w:rPr>
                    <w:t xml:space="preserve">Active de nivel 1 (CQS 1) </w:t>
                  </w:r>
                  <w:r w:rsidR="00EE0F81" w:rsidRPr="00BF7956">
                    <w:rPr>
                      <w:sz w:val="20"/>
                      <w:szCs w:val="20"/>
                    </w:rPr>
                    <w:t xml:space="preserve"> </w:t>
                  </w:r>
                  <w:r w:rsidR="00EE0F81" w:rsidRPr="00BF7956">
                    <w:rPr>
                      <w:color w:val="000000"/>
                      <w:sz w:val="20"/>
                      <w:szCs w:val="20"/>
                    </w:rPr>
                    <w:t>Cuantumul raportat la punctul 3.3.1, altul decât cuantumul raportat la punctul 3.3.1.1, care constă în active care reprezintă creanţe asupra unor emitenţi sau garanţi cărora li se atribuie nivelul 1 de calitate a creditului de către o ECAI desemnată sau creanţe care sunt garantate de aceștia.</w:t>
                  </w:r>
                </w:p>
              </w:tc>
            </w:tr>
          </w:tbl>
          <w:p w14:paraId="540E81E7"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5E4B0760" w14:textId="77777777" w:rsidTr="00144513">
              <w:tc>
                <w:tcPr>
                  <w:tcW w:w="856" w:type="dxa"/>
                </w:tcPr>
                <w:p w14:paraId="6B510BFE" w14:textId="63CE69C7"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780</w:t>
                  </w:r>
                </w:p>
              </w:tc>
              <w:tc>
                <w:tcPr>
                  <w:tcW w:w="3534" w:type="dxa"/>
                </w:tcPr>
                <w:p w14:paraId="1F4612C6" w14:textId="0D6BF83A" w:rsidR="008E3BA7"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3.3.1.2</w:t>
                  </w:r>
                  <w:r w:rsidRPr="00BF7956">
                    <w:rPr>
                      <w:color w:val="000000"/>
                      <w:sz w:val="20"/>
                      <w:szCs w:val="20"/>
                    </w:rPr>
                    <w:t xml:space="preserve"> </w:t>
                  </w:r>
                  <w:r w:rsidRPr="00BF7956">
                    <w:rPr>
                      <w:b/>
                      <w:bCs/>
                      <w:color w:val="000000"/>
                      <w:sz w:val="20"/>
                      <w:szCs w:val="20"/>
                    </w:rPr>
                    <w:t xml:space="preserve">Active de nivel 1 (CQS 1) </w:t>
                  </w:r>
                  <w:r w:rsidR="00D22473" w:rsidRPr="00BF7956">
                    <w:rPr>
                      <w:sz w:val="20"/>
                      <w:szCs w:val="20"/>
                    </w:rPr>
                    <w:t xml:space="preserve"> </w:t>
                  </w:r>
                  <w:r w:rsidR="00D22473" w:rsidRPr="00BF7956">
                    <w:rPr>
                      <w:color w:val="000000"/>
                      <w:sz w:val="20"/>
                      <w:szCs w:val="20"/>
                    </w:rPr>
                    <w:t xml:space="preserve">Cuantumul raportat la punctul 3.3.1, altul decât cuantumul raportat la punctul 3.3.1.1, care constă în active care reprezintă creanțe </w:t>
                  </w:r>
                  <w:r w:rsidR="00B2799B">
                    <w:rPr>
                      <w:color w:val="000000"/>
                      <w:sz w:val="20"/>
                      <w:szCs w:val="20"/>
                    </w:rPr>
                    <w:t xml:space="preserve"> față de unii </w:t>
                  </w:r>
                  <w:r w:rsidR="00D22473" w:rsidRPr="00BF7956">
                    <w:rPr>
                      <w:color w:val="000000"/>
                      <w:sz w:val="20"/>
                      <w:szCs w:val="20"/>
                    </w:rPr>
                    <w:t>emitenți sau garanți cărora li se atribuie nivelul 1 de calitate a creditului de către o ECAI desemnată sau creanțe garantate de aceștia.</w:t>
                  </w:r>
                </w:p>
              </w:tc>
            </w:tr>
          </w:tbl>
          <w:p w14:paraId="4B9A62EB"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CD1AFB4" w14:textId="1BF25BD1"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34E808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5A5A9DD" w14:textId="77777777" w:rsidR="008E3BA7" w:rsidRPr="00BF7956" w:rsidRDefault="008E3BA7" w:rsidP="008E3BA7">
            <w:pPr>
              <w:jc w:val="both"/>
              <w:rPr>
                <w:sz w:val="20"/>
                <w:szCs w:val="20"/>
                <w:lang w:val="ro-RO"/>
              </w:rPr>
            </w:pPr>
          </w:p>
        </w:tc>
        <w:tc>
          <w:tcPr>
            <w:tcW w:w="992" w:type="dxa"/>
          </w:tcPr>
          <w:p w14:paraId="7F724F8F" w14:textId="77777777" w:rsidR="008E3BA7" w:rsidRPr="00BF7956" w:rsidRDefault="008E3BA7" w:rsidP="008E3BA7">
            <w:pPr>
              <w:jc w:val="both"/>
              <w:rPr>
                <w:sz w:val="20"/>
                <w:szCs w:val="20"/>
                <w:lang w:val="ro-RO"/>
              </w:rPr>
            </w:pPr>
          </w:p>
        </w:tc>
      </w:tr>
      <w:tr w:rsidR="008E3BA7" w:rsidRPr="00BF7956" w14:paraId="5192F074" w14:textId="77777777" w:rsidTr="00C25F84">
        <w:tc>
          <w:tcPr>
            <w:tcW w:w="4576" w:type="dxa"/>
          </w:tcPr>
          <w:tbl>
            <w:tblPr>
              <w:tblStyle w:val="TableGrid"/>
              <w:tblW w:w="4418" w:type="dxa"/>
              <w:tblLayout w:type="fixed"/>
              <w:tblLook w:val="04A0" w:firstRow="1" w:lastRow="0" w:firstColumn="1" w:lastColumn="0" w:noHBand="0" w:noVBand="1"/>
            </w:tblPr>
            <w:tblGrid>
              <w:gridCol w:w="875"/>
              <w:gridCol w:w="3543"/>
            </w:tblGrid>
            <w:tr w:rsidR="008E3BA7" w:rsidRPr="00BB5D62" w14:paraId="2C0A3B1B" w14:textId="77777777" w:rsidTr="00E72B96">
              <w:tc>
                <w:tcPr>
                  <w:tcW w:w="875" w:type="dxa"/>
                </w:tcPr>
                <w:p w14:paraId="15A5D691" w14:textId="3DB98086"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790</w:t>
                  </w:r>
                </w:p>
              </w:tc>
              <w:tc>
                <w:tcPr>
                  <w:tcW w:w="3543" w:type="dxa"/>
                </w:tcPr>
                <w:p w14:paraId="6EEA62C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3.3.1.3</w:t>
                  </w:r>
                  <w:r w:rsidRPr="00BF7956">
                    <w:rPr>
                      <w:color w:val="000000"/>
                      <w:sz w:val="20"/>
                      <w:szCs w:val="20"/>
                    </w:rPr>
                    <w:t xml:space="preserve"> </w:t>
                  </w:r>
                  <w:r w:rsidRPr="00BF7956">
                    <w:rPr>
                      <w:b/>
                      <w:bCs/>
                      <w:color w:val="000000"/>
                      <w:sz w:val="20"/>
                      <w:szCs w:val="20"/>
                    </w:rPr>
                    <w:t xml:space="preserve">Active de nivel 1 (CQS 2, CQS 3) </w:t>
                  </w:r>
                </w:p>
                <w:p w14:paraId="16253260" w14:textId="3EB30492" w:rsidR="008E3BA7" w:rsidRPr="00BF7956" w:rsidRDefault="00EE0F81"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3.3.1, altul decât cuantumul raportat la punctul 3.3.1.1, care constă în active care reprezintă creanţe asupra unor emitenţi sau garanţi cărora li se atribuie nivelul 2 sau 3 de calitate a creditului de către o ECAI desemnată sau creanţe care sunt garantate de aceștia.</w:t>
                  </w:r>
                </w:p>
              </w:tc>
            </w:tr>
          </w:tbl>
          <w:p w14:paraId="4FE427B7"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83" w:type="dxa"/>
              <w:tblLayout w:type="fixed"/>
              <w:tblLook w:val="04A0" w:firstRow="1" w:lastRow="0" w:firstColumn="1" w:lastColumn="0" w:noHBand="0" w:noVBand="1"/>
            </w:tblPr>
            <w:tblGrid>
              <w:gridCol w:w="875"/>
              <w:gridCol w:w="3508"/>
            </w:tblGrid>
            <w:tr w:rsidR="008E3BA7" w:rsidRPr="00BB5D62" w14:paraId="330AB462" w14:textId="77777777" w:rsidTr="00E72B96">
              <w:tc>
                <w:tcPr>
                  <w:tcW w:w="875" w:type="dxa"/>
                </w:tcPr>
                <w:p w14:paraId="6FF1D5B2" w14:textId="1F993FDB"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790</w:t>
                  </w:r>
                </w:p>
              </w:tc>
              <w:tc>
                <w:tcPr>
                  <w:tcW w:w="3508" w:type="dxa"/>
                </w:tcPr>
                <w:p w14:paraId="39FDEBA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3.3.1.3</w:t>
                  </w:r>
                  <w:r w:rsidRPr="00BF7956">
                    <w:rPr>
                      <w:color w:val="000000"/>
                      <w:sz w:val="20"/>
                      <w:szCs w:val="20"/>
                    </w:rPr>
                    <w:t xml:space="preserve"> </w:t>
                  </w:r>
                  <w:r w:rsidRPr="00BF7956">
                    <w:rPr>
                      <w:b/>
                      <w:bCs/>
                      <w:color w:val="000000"/>
                      <w:sz w:val="20"/>
                      <w:szCs w:val="20"/>
                    </w:rPr>
                    <w:t xml:space="preserve">Active de nivel 1 (CQS 2, CQS 3) </w:t>
                  </w:r>
                </w:p>
                <w:p w14:paraId="2B9FF870" w14:textId="177422E1" w:rsidR="008E3BA7" w:rsidRPr="00BF7956" w:rsidRDefault="00D22473"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raportat la punctul 3.3.1, altul decât cel raportat la punctul 3.3.1.1, care constă în active care reprezintă creanțe </w:t>
                  </w:r>
                  <w:r w:rsidR="00B2799B">
                    <w:rPr>
                      <w:color w:val="000000"/>
                      <w:sz w:val="20"/>
                      <w:szCs w:val="20"/>
                    </w:rPr>
                    <w:t xml:space="preserve"> față de unii </w:t>
                  </w:r>
                  <w:r w:rsidRPr="00BF7956">
                    <w:rPr>
                      <w:color w:val="000000"/>
                      <w:sz w:val="20"/>
                      <w:szCs w:val="20"/>
                    </w:rPr>
                    <w:t>emitenți sau garanți cărora li se atribuie nivelul 2 sau 3 de calitate a creditului de către o ECAI desemnată sau creanțe garantate de aceștia.</w:t>
                  </w:r>
                </w:p>
              </w:tc>
            </w:tr>
          </w:tbl>
          <w:p w14:paraId="7ED472D1"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745A5E0" w14:textId="7959600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5F9563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96D8600" w14:textId="77777777" w:rsidR="008E3BA7" w:rsidRPr="00BF7956" w:rsidRDefault="008E3BA7" w:rsidP="008E3BA7">
            <w:pPr>
              <w:jc w:val="both"/>
              <w:rPr>
                <w:sz w:val="20"/>
                <w:szCs w:val="20"/>
                <w:lang w:val="ro-RO"/>
              </w:rPr>
            </w:pPr>
          </w:p>
        </w:tc>
        <w:tc>
          <w:tcPr>
            <w:tcW w:w="992" w:type="dxa"/>
          </w:tcPr>
          <w:p w14:paraId="09BA77CF" w14:textId="77777777" w:rsidR="008E3BA7" w:rsidRPr="00BF7956" w:rsidRDefault="008E3BA7" w:rsidP="008E3BA7">
            <w:pPr>
              <w:jc w:val="both"/>
              <w:rPr>
                <w:sz w:val="20"/>
                <w:szCs w:val="20"/>
                <w:lang w:val="ro-RO"/>
              </w:rPr>
            </w:pPr>
          </w:p>
        </w:tc>
      </w:tr>
      <w:tr w:rsidR="008E3BA7" w:rsidRPr="00BF7956" w14:paraId="7928B2CE"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0FF6DF2B" w14:textId="77777777" w:rsidTr="00E72B96">
              <w:tc>
                <w:tcPr>
                  <w:tcW w:w="856" w:type="dxa"/>
                </w:tcPr>
                <w:p w14:paraId="1F8A576C" w14:textId="74C33086"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800</w:t>
                  </w:r>
                </w:p>
              </w:tc>
              <w:tc>
                <w:tcPr>
                  <w:tcW w:w="3534" w:type="dxa"/>
                </w:tcPr>
                <w:p w14:paraId="19489132" w14:textId="5D93A9C0" w:rsidR="008E3BA7"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3.3.1.4</w:t>
                  </w:r>
                  <w:r w:rsidRPr="00BF7956">
                    <w:rPr>
                      <w:color w:val="000000"/>
                      <w:sz w:val="20"/>
                      <w:szCs w:val="20"/>
                    </w:rPr>
                    <w:t xml:space="preserve"> </w:t>
                  </w:r>
                  <w:r w:rsidRPr="00BF7956">
                    <w:rPr>
                      <w:b/>
                      <w:bCs/>
                      <w:color w:val="000000"/>
                      <w:sz w:val="20"/>
                      <w:szCs w:val="20"/>
                    </w:rPr>
                    <w:t xml:space="preserve">Active de nivel 1 (CQS 4+) </w:t>
                  </w:r>
                  <w:r w:rsidR="00EE0F81" w:rsidRPr="00BF7956">
                    <w:rPr>
                      <w:sz w:val="20"/>
                      <w:szCs w:val="20"/>
                    </w:rPr>
                    <w:t xml:space="preserve"> </w:t>
                  </w:r>
                  <w:r w:rsidR="00EE0F81" w:rsidRPr="00BF7956">
                    <w:rPr>
                      <w:color w:val="000000"/>
                      <w:sz w:val="20"/>
                      <w:szCs w:val="20"/>
                    </w:rPr>
                    <w:t>Cuantumul raportat la punctul 3.3.1, altul decât cuantumul raportat la punctul 3.3.1.1, care constă în active care reprezintă creanţe asupra unor emitenţi sau garanţi cărora li se atribuie un nivel de calitate a creditului mai mare sau egal cu 4 de către o ECAI desemnată sau creanţe care sunt garantate de aceștia.</w:t>
                  </w:r>
                </w:p>
              </w:tc>
            </w:tr>
          </w:tbl>
          <w:p w14:paraId="400470A5"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4FAA18F" w14:textId="77777777" w:rsidTr="00144513">
              <w:tc>
                <w:tcPr>
                  <w:tcW w:w="856" w:type="dxa"/>
                </w:tcPr>
                <w:p w14:paraId="14D7DA54" w14:textId="603D1B69"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800</w:t>
                  </w:r>
                </w:p>
              </w:tc>
              <w:tc>
                <w:tcPr>
                  <w:tcW w:w="3534" w:type="dxa"/>
                </w:tcPr>
                <w:p w14:paraId="37DF84E9" w14:textId="1A76808B" w:rsidR="008E3BA7"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3.3.1.4</w:t>
                  </w:r>
                  <w:r w:rsidRPr="00BF7956">
                    <w:rPr>
                      <w:color w:val="000000"/>
                      <w:sz w:val="20"/>
                      <w:szCs w:val="20"/>
                    </w:rPr>
                    <w:t xml:space="preserve"> </w:t>
                  </w:r>
                  <w:r w:rsidRPr="00BF7956">
                    <w:rPr>
                      <w:b/>
                      <w:bCs/>
                      <w:color w:val="000000"/>
                      <w:sz w:val="20"/>
                      <w:szCs w:val="20"/>
                    </w:rPr>
                    <w:t xml:space="preserve">Active de nivel 1 (CQS 4+) </w:t>
                  </w:r>
                  <w:r w:rsidR="00D22473" w:rsidRPr="00BF7956">
                    <w:rPr>
                      <w:sz w:val="20"/>
                      <w:szCs w:val="20"/>
                    </w:rPr>
                    <w:t xml:space="preserve"> </w:t>
                  </w:r>
                  <w:r w:rsidR="00D22473" w:rsidRPr="00BF7956">
                    <w:rPr>
                      <w:color w:val="000000"/>
                      <w:sz w:val="20"/>
                      <w:szCs w:val="20"/>
                    </w:rPr>
                    <w:t xml:space="preserve">Cuantumul raportat la punctul 3.3.1, altul decât cel raportat la punctul 3.3.1.1, care constă în active care reprezintă creanțe </w:t>
                  </w:r>
                  <w:r w:rsidR="00B2799B">
                    <w:rPr>
                      <w:color w:val="000000"/>
                      <w:sz w:val="20"/>
                      <w:szCs w:val="20"/>
                    </w:rPr>
                    <w:t xml:space="preserve"> față de unii </w:t>
                  </w:r>
                  <w:r w:rsidR="00D22473" w:rsidRPr="00BF7956">
                    <w:rPr>
                      <w:color w:val="000000"/>
                      <w:sz w:val="20"/>
                      <w:szCs w:val="20"/>
                    </w:rPr>
                    <w:t>emitenți sau garanți cărora li se atribuie un nivel de calitate a creditului mai mare sau egal cu 4 de către o ECAI desemnată sau creanțe garantate de aceștia.</w:t>
                  </w:r>
                </w:p>
              </w:tc>
            </w:tr>
          </w:tbl>
          <w:p w14:paraId="0562340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3737C7D" w14:textId="1044C37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07B8FD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F4B03ED" w14:textId="77777777" w:rsidR="008E3BA7" w:rsidRPr="00BF7956" w:rsidRDefault="008E3BA7" w:rsidP="008E3BA7">
            <w:pPr>
              <w:jc w:val="both"/>
              <w:rPr>
                <w:sz w:val="20"/>
                <w:szCs w:val="20"/>
                <w:lang w:val="ro-RO"/>
              </w:rPr>
            </w:pPr>
          </w:p>
        </w:tc>
        <w:tc>
          <w:tcPr>
            <w:tcW w:w="992" w:type="dxa"/>
          </w:tcPr>
          <w:p w14:paraId="3BE2717E" w14:textId="77777777" w:rsidR="008E3BA7" w:rsidRPr="00BF7956" w:rsidRDefault="008E3BA7" w:rsidP="008E3BA7">
            <w:pPr>
              <w:jc w:val="both"/>
              <w:rPr>
                <w:sz w:val="20"/>
                <w:szCs w:val="20"/>
                <w:lang w:val="ro-RO"/>
              </w:rPr>
            </w:pPr>
          </w:p>
        </w:tc>
      </w:tr>
      <w:tr w:rsidR="008E3BA7" w:rsidRPr="00BB5D62" w14:paraId="498E3BD4" w14:textId="77777777" w:rsidTr="00C25F84">
        <w:tc>
          <w:tcPr>
            <w:tcW w:w="4576" w:type="dxa"/>
          </w:tcPr>
          <w:tbl>
            <w:tblPr>
              <w:tblStyle w:val="TableGrid"/>
              <w:tblW w:w="4418" w:type="dxa"/>
              <w:tblLayout w:type="fixed"/>
              <w:tblLook w:val="04A0" w:firstRow="1" w:lastRow="0" w:firstColumn="1" w:lastColumn="0" w:noHBand="0" w:noVBand="1"/>
            </w:tblPr>
            <w:tblGrid>
              <w:gridCol w:w="875"/>
              <w:gridCol w:w="3543"/>
            </w:tblGrid>
            <w:tr w:rsidR="008E3BA7" w:rsidRPr="00BB5D62" w14:paraId="4C31E639" w14:textId="77777777" w:rsidTr="00E72B96">
              <w:tc>
                <w:tcPr>
                  <w:tcW w:w="875" w:type="dxa"/>
                </w:tcPr>
                <w:p w14:paraId="0CDC2A59" w14:textId="04E4214A"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810</w:t>
                  </w:r>
                </w:p>
              </w:tc>
              <w:tc>
                <w:tcPr>
                  <w:tcW w:w="3543" w:type="dxa"/>
                </w:tcPr>
                <w:p w14:paraId="000266D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3.3.2</w:t>
                  </w:r>
                  <w:r w:rsidRPr="00BF7956">
                    <w:rPr>
                      <w:color w:val="000000"/>
                      <w:sz w:val="20"/>
                      <w:szCs w:val="20"/>
                    </w:rPr>
                    <w:t xml:space="preserve"> </w:t>
                  </w:r>
                  <w:r w:rsidRPr="00BF7956">
                    <w:rPr>
                      <w:b/>
                      <w:bCs/>
                      <w:color w:val="000000"/>
                      <w:sz w:val="20"/>
                      <w:szCs w:val="20"/>
                    </w:rPr>
                    <w:t xml:space="preserve">Obligaţiuni garantate de nivel 1 (CQS 1) </w:t>
                  </w:r>
                </w:p>
                <w:p w14:paraId="755154DF" w14:textId="3EFE587C" w:rsidR="008E3BA7" w:rsidRPr="00BF7956" w:rsidRDefault="00EE0F81"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3.3 care constă în obligaţiuni garantate. A se reţine faptul că, în conformitate cu articolul 10 alineatul (1) litera (f) din Regulamentul delegat (UE) 2015/61, numai obligaţiunile garantate cu nivelul 1 de calitate a creditului (CQS 1) sunt eligibile ca active de nivel 1.</w:t>
                  </w:r>
                </w:p>
              </w:tc>
            </w:tr>
          </w:tbl>
          <w:p w14:paraId="6DF83122"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83" w:type="dxa"/>
              <w:tblLayout w:type="fixed"/>
              <w:tblLook w:val="04A0" w:firstRow="1" w:lastRow="0" w:firstColumn="1" w:lastColumn="0" w:noHBand="0" w:noVBand="1"/>
            </w:tblPr>
            <w:tblGrid>
              <w:gridCol w:w="875"/>
              <w:gridCol w:w="3508"/>
            </w:tblGrid>
            <w:tr w:rsidR="008E3BA7" w:rsidRPr="00BB5D62" w14:paraId="1312D459" w14:textId="77777777" w:rsidTr="00E72B96">
              <w:tc>
                <w:tcPr>
                  <w:tcW w:w="875" w:type="dxa"/>
                </w:tcPr>
                <w:p w14:paraId="41A465E4" w14:textId="28809AF1"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810</w:t>
                  </w:r>
                </w:p>
              </w:tc>
              <w:tc>
                <w:tcPr>
                  <w:tcW w:w="3508" w:type="dxa"/>
                </w:tcPr>
                <w:p w14:paraId="3AC783AA" w14:textId="7BBD4EAF"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3.3.2</w:t>
                  </w:r>
                  <w:r w:rsidRPr="00BF7956">
                    <w:rPr>
                      <w:color w:val="000000"/>
                      <w:sz w:val="20"/>
                      <w:szCs w:val="20"/>
                    </w:rPr>
                    <w:t xml:space="preserve"> </w:t>
                  </w:r>
                  <w:r w:rsidRPr="00BF7956">
                    <w:rPr>
                      <w:b/>
                      <w:bCs/>
                      <w:color w:val="000000"/>
                      <w:sz w:val="20"/>
                      <w:szCs w:val="20"/>
                    </w:rPr>
                    <w:t xml:space="preserve">Obligaţiuni garantate de nivel 1 (CQS 1) </w:t>
                  </w:r>
                </w:p>
              </w:tc>
            </w:tr>
          </w:tbl>
          <w:p w14:paraId="6581E327"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42F44E79" w14:textId="7F30F18B"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317342BD" w14:textId="19924651" w:rsidR="008E3BA7" w:rsidRPr="00BF7956" w:rsidRDefault="008E3BA7" w:rsidP="008E3BA7">
            <w:pPr>
              <w:rPr>
                <w:sz w:val="20"/>
                <w:szCs w:val="20"/>
                <w:lang w:val="ro-RO"/>
              </w:rPr>
            </w:pPr>
            <w:r w:rsidRPr="00BF7956">
              <w:rPr>
                <w:rFonts w:eastAsia="Calibri"/>
                <w:sz w:val="20"/>
                <w:szCs w:val="20"/>
                <w:lang w:val="ro-RO" w:eastAsia="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2DD40AC7" w14:textId="77777777" w:rsidR="008E3BA7" w:rsidRPr="00BF7956" w:rsidRDefault="008E3BA7" w:rsidP="008E3BA7">
            <w:pPr>
              <w:jc w:val="both"/>
              <w:rPr>
                <w:sz w:val="20"/>
                <w:szCs w:val="20"/>
                <w:lang w:val="ro-RO"/>
              </w:rPr>
            </w:pPr>
          </w:p>
        </w:tc>
        <w:tc>
          <w:tcPr>
            <w:tcW w:w="992" w:type="dxa"/>
          </w:tcPr>
          <w:p w14:paraId="3AAE3E06" w14:textId="77777777" w:rsidR="008E3BA7" w:rsidRPr="00BF7956" w:rsidRDefault="008E3BA7" w:rsidP="008E3BA7">
            <w:pPr>
              <w:jc w:val="both"/>
              <w:rPr>
                <w:sz w:val="20"/>
                <w:szCs w:val="20"/>
                <w:lang w:val="ro-RO"/>
              </w:rPr>
            </w:pPr>
          </w:p>
        </w:tc>
      </w:tr>
      <w:tr w:rsidR="008E3BA7" w:rsidRPr="00BF7956" w14:paraId="5C0159F1" w14:textId="77777777" w:rsidTr="00C25F84">
        <w:tc>
          <w:tcPr>
            <w:tcW w:w="4576" w:type="dxa"/>
          </w:tcPr>
          <w:tbl>
            <w:tblPr>
              <w:tblStyle w:val="TableGrid"/>
              <w:tblW w:w="4418" w:type="dxa"/>
              <w:tblLayout w:type="fixed"/>
              <w:tblLook w:val="04A0" w:firstRow="1" w:lastRow="0" w:firstColumn="1" w:lastColumn="0" w:noHBand="0" w:noVBand="1"/>
            </w:tblPr>
            <w:tblGrid>
              <w:gridCol w:w="875"/>
              <w:gridCol w:w="3543"/>
            </w:tblGrid>
            <w:tr w:rsidR="008E3BA7" w:rsidRPr="00BB5D62" w14:paraId="76DFB13B" w14:textId="77777777" w:rsidTr="00E72B96">
              <w:tc>
                <w:tcPr>
                  <w:tcW w:w="875" w:type="dxa"/>
                </w:tcPr>
                <w:p w14:paraId="3159F23F" w14:textId="6BCD1163" w:rsidR="008E3BA7" w:rsidRPr="00BF7956" w:rsidRDefault="00EE0F81" w:rsidP="008E3BA7">
                  <w:pPr>
                    <w:pStyle w:val="CM4"/>
                    <w:framePr w:hSpace="180" w:wrap="around" w:vAnchor="text" w:hAnchor="margin" w:y="137"/>
                    <w:spacing w:after="240"/>
                    <w:jc w:val="center"/>
                    <w:rPr>
                      <w:i/>
                      <w:iCs/>
                      <w:color w:val="000000"/>
                      <w:sz w:val="20"/>
                      <w:szCs w:val="20"/>
                      <w:lang w:val="ro-RO"/>
                    </w:rPr>
                  </w:pPr>
                  <w:r w:rsidRPr="00BF7956">
                    <w:rPr>
                      <w:color w:val="000000"/>
                      <w:sz w:val="20"/>
                      <w:szCs w:val="20"/>
                    </w:rPr>
                    <w:t>0</w:t>
                  </w:r>
                  <w:r w:rsidR="008E3BA7" w:rsidRPr="00BF7956">
                    <w:rPr>
                      <w:color w:val="000000"/>
                      <w:sz w:val="20"/>
                      <w:szCs w:val="20"/>
                    </w:rPr>
                    <w:t>820</w:t>
                  </w:r>
                </w:p>
              </w:tc>
              <w:tc>
                <w:tcPr>
                  <w:tcW w:w="3543" w:type="dxa"/>
                </w:tcPr>
                <w:p w14:paraId="3649A0DC" w14:textId="77777777" w:rsidR="00EE0F81" w:rsidRPr="00BF7956" w:rsidRDefault="008E3BA7" w:rsidP="00EE0F81">
                  <w:pPr>
                    <w:pStyle w:val="CM4"/>
                    <w:framePr w:hSpace="180" w:wrap="around" w:vAnchor="text" w:hAnchor="margin" w:y="137"/>
                    <w:rPr>
                      <w:b/>
                      <w:bCs/>
                      <w:color w:val="000000"/>
                      <w:sz w:val="20"/>
                      <w:szCs w:val="20"/>
                    </w:rPr>
                  </w:pPr>
                  <w:r w:rsidRPr="00BE3E94">
                    <w:rPr>
                      <w:b/>
                      <w:bCs/>
                      <w:color w:val="000000"/>
                      <w:sz w:val="20"/>
                      <w:szCs w:val="20"/>
                    </w:rPr>
                    <w:t>3.4</w:t>
                  </w:r>
                  <w:r w:rsidRPr="00BF7956">
                    <w:rPr>
                      <w:color w:val="000000"/>
                      <w:sz w:val="20"/>
                      <w:szCs w:val="20"/>
                    </w:rPr>
                    <w:t xml:space="preserve"> </w:t>
                  </w:r>
                  <w:r w:rsidRPr="00BF7956">
                    <w:rPr>
                      <w:b/>
                      <w:bCs/>
                      <w:color w:val="000000"/>
                      <w:sz w:val="20"/>
                      <w:szCs w:val="20"/>
                    </w:rPr>
                    <w:t>Active tranzacţionabile de nivel 2A</w:t>
                  </w:r>
                </w:p>
                <w:p w14:paraId="6BC053D2" w14:textId="4B747128" w:rsidR="00EE0F81" w:rsidRPr="00BF7956" w:rsidRDefault="00EE0F81" w:rsidP="00EE0F81">
                  <w:pPr>
                    <w:framePr w:hSpace="180" w:wrap="around" w:vAnchor="text" w:hAnchor="margin" w:y="137"/>
                    <w:rPr>
                      <w:sz w:val="20"/>
                      <w:szCs w:val="20"/>
                      <w:lang w:val="ro-MD" w:eastAsia="en-US"/>
                    </w:rPr>
                  </w:pPr>
                  <w:r w:rsidRPr="00BF7956">
                    <w:rPr>
                      <w:sz w:val="20"/>
                      <w:szCs w:val="20"/>
                      <w:lang w:val="ro-MD" w:eastAsia="en-US"/>
                    </w:rPr>
                    <w:t>Valoarea de piaţă a activelor tranzacţionabile în conformitate cu articolele 7, 8 și 11 din Regulamentul delegat (UE) 2015/61. Acţiunile sau unităţile deţinute în OPC-uri în conformitate cu articolul 15 din Regulamentul delegat (UE) 2015/61 care se califică drept active de nivel 2A se raportează în subcategoriile de mai jos corespunzătoare activelor-suport ale acestora.</w:t>
                  </w:r>
                </w:p>
                <w:p w14:paraId="62AF370C" w14:textId="21A79D48" w:rsidR="008E3BA7" w:rsidRPr="00BF7956" w:rsidRDefault="008E3BA7" w:rsidP="008E3BA7">
                  <w:pPr>
                    <w:pStyle w:val="CM4"/>
                    <w:framePr w:hSpace="180" w:wrap="around" w:vAnchor="text" w:hAnchor="margin" w:y="137"/>
                    <w:spacing w:after="240"/>
                    <w:rPr>
                      <w:color w:val="000000"/>
                      <w:sz w:val="20"/>
                      <w:szCs w:val="20"/>
                    </w:rPr>
                  </w:pPr>
                  <w:r w:rsidRPr="00BF7956">
                    <w:rPr>
                      <w:b/>
                      <w:bCs/>
                      <w:color w:val="000000"/>
                      <w:sz w:val="20"/>
                      <w:szCs w:val="20"/>
                    </w:rPr>
                    <w:t xml:space="preserve"> </w:t>
                  </w:r>
                </w:p>
              </w:tc>
            </w:tr>
          </w:tbl>
          <w:p w14:paraId="157C350E" w14:textId="77777777" w:rsidR="008E3BA7" w:rsidRPr="00BF7956" w:rsidRDefault="008E3BA7" w:rsidP="008E3BA7">
            <w:pPr>
              <w:pStyle w:val="CM4"/>
              <w:spacing w:after="240"/>
              <w:jc w:val="center"/>
              <w:rPr>
                <w:color w:val="000000"/>
                <w:sz w:val="20"/>
                <w:szCs w:val="20"/>
              </w:rPr>
            </w:pPr>
          </w:p>
        </w:tc>
        <w:tc>
          <w:tcPr>
            <w:tcW w:w="4536" w:type="dxa"/>
            <w:shd w:val="clear" w:color="auto" w:fill="auto"/>
          </w:tcPr>
          <w:tbl>
            <w:tblPr>
              <w:tblStyle w:val="TableGrid"/>
              <w:tblW w:w="4383" w:type="dxa"/>
              <w:tblLayout w:type="fixed"/>
              <w:tblLook w:val="04A0" w:firstRow="1" w:lastRow="0" w:firstColumn="1" w:lastColumn="0" w:noHBand="0" w:noVBand="1"/>
            </w:tblPr>
            <w:tblGrid>
              <w:gridCol w:w="875"/>
              <w:gridCol w:w="3508"/>
            </w:tblGrid>
            <w:tr w:rsidR="008E3BA7" w:rsidRPr="00BB5D62" w14:paraId="2DAC2A10" w14:textId="77777777" w:rsidTr="008C6E5D">
              <w:tc>
                <w:tcPr>
                  <w:tcW w:w="875" w:type="dxa"/>
                </w:tcPr>
                <w:p w14:paraId="094E7968" w14:textId="68C4E3B1" w:rsidR="008E3BA7" w:rsidRPr="00BF7956" w:rsidRDefault="00D22473" w:rsidP="008E3BA7">
                  <w:pPr>
                    <w:pStyle w:val="CM4"/>
                    <w:framePr w:hSpace="180" w:wrap="around" w:vAnchor="text" w:hAnchor="margin" w:y="137"/>
                    <w:spacing w:after="240"/>
                    <w:jc w:val="center"/>
                    <w:rPr>
                      <w:i/>
                      <w:iCs/>
                      <w:color w:val="000000"/>
                      <w:sz w:val="20"/>
                      <w:szCs w:val="20"/>
                      <w:lang w:val="ro-RO"/>
                    </w:rPr>
                  </w:pPr>
                  <w:r w:rsidRPr="00BF7956">
                    <w:rPr>
                      <w:color w:val="000000"/>
                      <w:sz w:val="20"/>
                      <w:szCs w:val="20"/>
                    </w:rPr>
                    <w:t>0</w:t>
                  </w:r>
                  <w:r w:rsidR="008E3BA7" w:rsidRPr="00BF7956">
                    <w:rPr>
                      <w:color w:val="000000"/>
                      <w:sz w:val="20"/>
                      <w:szCs w:val="20"/>
                    </w:rPr>
                    <w:t>820</w:t>
                  </w:r>
                </w:p>
              </w:tc>
              <w:tc>
                <w:tcPr>
                  <w:tcW w:w="3508" w:type="dxa"/>
                </w:tcPr>
                <w:p w14:paraId="3D380B25" w14:textId="4F2E1589" w:rsidR="00D22473" w:rsidRPr="00BF7956" w:rsidRDefault="008E3BA7" w:rsidP="00D22473">
                  <w:pPr>
                    <w:framePr w:hSpace="180" w:wrap="around" w:vAnchor="text" w:hAnchor="margin" w:y="137"/>
                    <w:spacing w:after="240"/>
                    <w:rPr>
                      <w:color w:val="333333"/>
                      <w:sz w:val="20"/>
                      <w:szCs w:val="20"/>
                      <w:lang w:val="ro-MD" w:eastAsia="ro-MD"/>
                    </w:rPr>
                  </w:pPr>
                  <w:r w:rsidRPr="00BE3E94">
                    <w:rPr>
                      <w:b/>
                      <w:bCs/>
                      <w:color w:val="000000"/>
                      <w:sz w:val="20"/>
                      <w:szCs w:val="20"/>
                      <w:lang w:val="it-IT"/>
                    </w:rPr>
                    <w:t>3.4</w:t>
                  </w:r>
                  <w:r w:rsidRPr="00BF7956">
                    <w:rPr>
                      <w:color w:val="000000"/>
                      <w:sz w:val="20"/>
                      <w:szCs w:val="20"/>
                      <w:lang w:val="it-IT"/>
                    </w:rPr>
                    <w:t xml:space="preserve"> </w:t>
                  </w:r>
                  <w:r w:rsidRPr="00BF7956">
                    <w:rPr>
                      <w:b/>
                      <w:bCs/>
                      <w:color w:val="000000"/>
                      <w:sz w:val="20"/>
                      <w:szCs w:val="20"/>
                      <w:lang w:val="it-IT"/>
                    </w:rPr>
                    <w:t xml:space="preserve">Active tranzacţionabile de nivel 2A </w:t>
                  </w:r>
                  <w:r w:rsidRPr="00BF7956">
                    <w:rPr>
                      <w:color w:val="333333"/>
                      <w:sz w:val="20"/>
                      <w:szCs w:val="20"/>
                      <w:lang w:val="ro-MD" w:eastAsia="ro-MD"/>
                    </w:rPr>
                    <w:t xml:space="preserve"> </w:t>
                  </w:r>
                  <w:r w:rsidR="00D22473" w:rsidRPr="00BF7956">
                    <w:rPr>
                      <w:sz w:val="20"/>
                      <w:szCs w:val="20"/>
                      <w:lang w:val="en-US"/>
                    </w:rPr>
                    <w:t xml:space="preserve"> </w:t>
                  </w:r>
                  <w:r w:rsidR="00D22473" w:rsidRPr="00BF7956">
                    <w:rPr>
                      <w:color w:val="333333"/>
                      <w:sz w:val="20"/>
                      <w:szCs w:val="20"/>
                      <w:lang w:val="ro-MD" w:eastAsia="ro-MD"/>
                    </w:rPr>
                    <w:t xml:space="preserve">Valoarea de piață a activelor tranzacționabile în conformitate cu punctele 21-29, 33 și 34 din Regulamentul nr.44/2020 privind cerinţele de acoperire a necesarului de lichiditate pentru bănci. </w:t>
                  </w:r>
                </w:p>
                <w:p w14:paraId="22944873" w14:textId="2A1060E9" w:rsidR="008E3BA7" w:rsidRPr="00BF7956" w:rsidRDefault="00D22473" w:rsidP="00D22473">
                  <w:pPr>
                    <w:framePr w:hSpace="180" w:wrap="around" w:vAnchor="text" w:hAnchor="margin" w:y="137"/>
                    <w:spacing w:after="240"/>
                    <w:rPr>
                      <w:color w:val="333333"/>
                      <w:sz w:val="20"/>
                      <w:szCs w:val="20"/>
                      <w:lang w:val="ro-MD" w:eastAsia="ro-MD"/>
                    </w:rPr>
                  </w:pPr>
                  <w:r w:rsidRPr="00BF7956">
                    <w:rPr>
                      <w:color w:val="333333"/>
                      <w:sz w:val="20"/>
                      <w:szCs w:val="20"/>
                      <w:lang w:val="ro-MD" w:eastAsia="ro-MD"/>
                    </w:rPr>
                    <w:t>Acțiunile sau unitățile deținute în OPC-uri în conformitate cu punctele 37-41 din Regulamentul nr.44/2020 privind cerinţele de acoperire a necesarului de lichiditate pentru bănci care se califică drept active de nivel 2A se raportează în subcategoriile de mai jos corespunzătoare activelor-suport ale acestora.</w:t>
                  </w:r>
                </w:p>
              </w:tc>
            </w:tr>
          </w:tbl>
          <w:p w14:paraId="590C21F1" w14:textId="77777777" w:rsidR="008E3BA7" w:rsidRPr="00BF7956" w:rsidRDefault="008E3BA7" w:rsidP="008E3BA7">
            <w:pPr>
              <w:autoSpaceDE w:val="0"/>
              <w:autoSpaceDN w:val="0"/>
              <w:adjustRightInd w:val="0"/>
              <w:spacing w:after="240"/>
              <w:jc w:val="center"/>
              <w:rPr>
                <w:color w:val="000000"/>
                <w:sz w:val="20"/>
                <w:szCs w:val="20"/>
                <w:lang w:val="ro-MD"/>
              </w:rPr>
            </w:pPr>
          </w:p>
        </w:tc>
        <w:tc>
          <w:tcPr>
            <w:tcW w:w="1418" w:type="dxa"/>
          </w:tcPr>
          <w:p w14:paraId="417EFBCF" w14:textId="50185207" w:rsidR="008E3BA7" w:rsidRPr="00BF7956" w:rsidRDefault="008E3BA7" w:rsidP="008E3BA7">
            <w:pPr>
              <w:spacing w:after="240"/>
              <w:rPr>
                <w:b/>
                <w:strike/>
                <w:sz w:val="20"/>
                <w:szCs w:val="20"/>
                <w:lang w:val="ro-RO"/>
              </w:rPr>
            </w:pPr>
            <w:r w:rsidRPr="00BF7956">
              <w:rPr>
                <w:bCs/>
                <w:sz w:val="20"/>
                <w:szCs w:val="20"/>
                <w:lang w:val="ro-RO"/>
              </w:rPr>
              <w:t>Compatibil</w:t>
            </w:r>
          </w:p>
        </w:tc>
        <w:tc>
          <w:tcPr>
            <w:tcW w:w="2223" w:type="dxa"/>
          </w:tcPr>
          <w:p w14:paraId="3F8F0532" w14:textId="77777777" w:rsidR="008E3BA7" w:rsidRPr="00BF7956" w:rsidRDefault="008E3BA7" w:rsidP="008E3BA7">
            <w:pPr>
              <w:spacing w:after="240"/>
              <w:jc w:val="both"/>
              <w:rPr>
                <w:sz w:val="20"/>
                <w:szCs w:val="20"/>
                <w:lang w:val="ro-RO"/>
              </w:rPr>
            </w:pPr>
          </w:p>
        </w:tc>
        <w:tc>
          <w:tcPr>
            <w:tcW w:w="1134" w:type="dxa"/>
            <w:tcBorders>
              <w:top w:val="single" w:sz="4" w:space="0" w:color="auto"/>
              <w:bottom w:val="single" w:sz="4" w:space="0" w:color="auto"/>
            </w:tcBorders>
          </w:tcPr>
          <w:p w14:paraId="6CC73690" w14:textId="77777777" w:rsidR="008E3BA7" w:rsidRPr="00BF7956" w:rsidRDefault="008E3BA7" w:rsidP="008E3BA7">
            <w:pPr>
              <w:spacing w:after="240"/>
              <w:jc w:val="both"/>
              <w:rPr>
                <w:sz w:val="20"/>
                <w:szCs w:val="20"/>
                <w:lang w:val="ro-RO"/>
              </w:rPr>
            </w:pPr>
          </w:p>
        </w:tc>
        <w:tc>
          <w:tcPr>
            <w:tcW w:w="992" w:type="dxa"/>
          </w:tcPr>
          <w:p w14:paraId="318525A1" w14:textId="77777777" w:rsidR="008E3BA7" w:rsidRPr="00BF7956" w:rsidRDefault="008E3BA7" w:rsidP="008E3BA7">
            <w:pPr>
              <w:spacing w:after="240"/>
              <w:jc w:val="both"/>
              <w:rPr>
                <w:sz w:val="20"/>
                <w:szCs w:val="20"/>
                <w:lang w:val="ro-RO"/>
              </w:rPr>
            </w:pPr>
          </w:p>
        </w:tc>
      </w:tr>
      <w:tr w:rsidR="008E3BA7" w:rsidRPr="00BF7956" w14:paraId="64AE3942" w14:textId="77777777" w:rsidTr="00C25F84">
        <w:tc>
          <w:tcPr>
            <w:tcW w:w="4576" w:type="dxa"/>
          </w:tcPr>
          <w:tbl>
            <w:tblPr>
              <w:tblStyle w:val="TableGrid"/>
              <w:tblW w:w="4418" w:type="dxa"/>
              <w:tblLayout w:type="fixed"/>
              <w:tblLook w:val="04A0" w:firstRow="1" w:lastRow="0" w:firstColumn="1" w:lastColumn="0" w:noHBand="0" w:noVBand="1"/>
            </w:tblPr>
            <w:tblGrid>
              <w:gridCol w:w="875"/>
              <w:gridCol w:w="3543"/>
            </w:tblGrid>
            <w:tr w:rsidR="008E3BA7" w:rsidRPr="00BB5D62" w14:paraId="614F4510" w14:textId="77777777" w:rsidTr="008C6E5D">
              <w:tc>
                <w:tcPr>
                  <w:tcW w:w="875" w:type="dxa"/>
                </w:tcPr>
                <w:p w14:paraId="7E9F1785" w14:textId="3A53783B"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830</w:t>
                  </w:r>
                </w:p>
              </w:tc>
              <w:tc>
                <w:tcPr>
                  <w:tcW w:w="3543" w:type="dxa"/>
                </w:tcPr>
                <w:p w14:paraId="76AE8D50"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3.4.1</w:t>
                  </w:r>
                  <w:r w:rsidRPr="00BF7956">
                    <w:rPr>
                      <w:color w:val="000000"/>
                      <w:sz w:val="20"/>
                      <w:szCs w:val="20"/>
                    </w:rPr>
                    <w:t xml:space="preserve"> </w:t>
                  </w:r>
                  <w:r w:rsidRPr="00BF7956">
                    <w:rPr>
                      <w:b/>
                      <w:bCs/>
                      <w:color w:val="000000"/>
                      <w:sz w:val="20"/>
                      <w:szCs w:val="20"/>
                    </w:rPr>
                    <w:t xml:space="preserve">Obligaţiuni corporative de nivel 2A (CQS 1) </w:t>
                  </w:r>
                </w:p>
                <w:p w14:paraId="38564985" w14:textId="5CE78E85" w:rsidR="008E3BA7" w:rsidRPr="00BF7956" w:rsidRDefault="00EE0F81"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3.4 care constă în obligaţiuni corporative cărora li se atribuie nivelul 1 de calitate a creditului de către o ECAI desemnată.</w:t>
                  </w:r>
                </w:p>
              </w:tc>
            </w:tr>
          </w:tbl>
          <w:p w14:paraId="5BE0738C"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83" w:type="dxa"/>
              <w:tblLayout w:type="fixed"/>
              <w:tblLook w:val="04A0" w:firstRow="1" w:lastRow="0" w:firstColumn="1" w:lastColumn="0" w:noHBand="0" w:noVBand="1"/>
            </w:tblPr>
            <w:tblGrid>
              <w:gridCol w:w="840"/>
              <w:gridCol w:w="3543"/>
            </w:tblGrid>
            <w:tr w:rsidR="008E3BA7" w:rsidRPr="00BB5D62" w14:paraId="458419B1" w14:textId="77777777" w:rsidTr="008C6E5D">
              <w:tc>
                <w:tcPr>
                  <w:tcW w:w="840" w:type="dxa"/>
                </w:tcPr>
                <w:p w14:paraId="2E83B8C4" w14:textId="4E13D453" w:rsidR="008E3BA7" w:rsidRPr="00BF7956" w:rsidRDefault="00D22473"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830</w:t>
                  </w:r>
                </w:p>
              </w:tc>
              <w:tc>
                <w:tcPr>
                  <w:tcW w:w="3543" w:type="dxa"/>
                </w:tcPr>
                <w:p w14:paraId="6712B52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3.4.1</w:t>
                  </w:r>
                  <w:r w:rsidRPr="00BF7956">
                    <w:rPr>
                      <w:color w:val="000000"/>
                      <w:sz w:val="20"/>
                      <w:szCs w:val="20"/>
                    </w:rPr>
                    <w:t xml:space="preserve"> </w:t>
                  </w:r>
                  <w:r w:rsidRPr="00BF7956">
                    <w:rPr>
                      <w:b/>
                      <w:bCs/>
                      <w:color w:val="000000"/>
                      <w:sz w:val="20"/>
                      <w:szCs w:val="20"/>
                    </w:rPr>
                    <w:t xml:space="preserve">Obligaţiuni corporative de nivel 2A (CQS 1) </w:t>
                  </w:r>
                </w:p>
                <w:p w14:paraId="0E53F253" w14:textId="05F3F01A" w:rsidR="008E3BA7" w:rsidRPr="00BF7956" w:rsidRDefault="00D22473"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3.4 care constă în obligațiuni corporative cărora li se atribuie nivelul 1 de calitate a creditului de către o ECAI desemnată.</w:t>
                  </w:r>
                </w:p>
              </w:tc>
            </w:tr>
          </w:tbl>
          <w:p w14:paraId="4CBD9E78"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21754EEB" w14:textId="6D11A508"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C61415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A15B59A" w14:textId="77777777" w:rsidR="008E3BA7" w:rsidRPr="00BF7956" w:rsidRDefault="008E3BA7" w:rsidP="008E3BA7">
            <w:pPr>
              <w:jc w:val="both"/>
              <w:rPr>
                <w:sz w:val="20"/>
                <w:szCs w:val="20"/>
                <w:lang w:val="ro-RO"/>
              </w:rPr>
            </w:pPr>
          </w:p>
        </w:tc>
        <w:tc>
          <w:tcPr>
            <w:tcW w:w="992" w:type="dxa"/>
          </w:tcPr>
          <w:p w14:paraId="1DE4917D" w14:textId="77777777" w:rsidR="008E3BA7" w:rsidRPr="00BF7956" w:rsidRDefault="008E3BA7" w:rsidP="008E3BA7">
            <w:pPr>
              <w:jc w:val="both"/>
              <w:rPr>
                <w:sz w:val="20"/>
                <w:szCs w:val="20"/>
                <w:lang w:val="ro-RO"/>
              </w:rPr>
            </w:pPr>
          </w:p>
        </w:tc>
      </w:tr>
      <w:tr w:rsidR="008E3BA7" w:rsidRPr="00BB5D62" w14:paraId="144AEAAB"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44C7277C" w14:textId="77777777" w:rsidTr="00E5285D">
              <w:tc>
                <w:tcPr>
                  <w:tcW w:w="856" w:type="dxa"/>
                </w:tcPr>
                <w:p w14:paraId="3919572C" w14:textId="2F384933" w:rsidR="008E3BA7" w:rsidRPr="00BF7956" w:rsidRDefault="00EE0F81"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840</w:t>
                  </w:r>
                </w:p>
              </w:tc>
              <w:tc>
                <w:tcPr>
                  <w:tcW w:w="3534" w:type="dxa"/>
                </w:tcPr>
                <w:p w14:paraId="14162BD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3.4.2</w:t>
                  </w:r>
                  <w:r w:rsidRPr="00BF7956">
                    <w:rPr>
                      <w:color w:val="000000"/>
                      <w:sz w:val="20"/>
                      <w:szCs w:val="20"/>
                    </w:rPr>
                    <w:t xml:space="preserve"> </w:t>
                  </w:r>
                  <w:r w:rsidRPr="00BF7956">
                    <w:rPr>
                      <w:b/>
                      <w:bCs/>
                      <w:color w:val="000000"/>
                      <w:sz w:val="20"/>
                      <w:szCs w:val="20"/>
                    </w:rPr>
                    <w:t xml:space="preserve">Obligaţiuni garantate de nivel 2A (CQS 1, CQS 2) </w:t>
                  </w:r>
                </w:p>
                <w:p w14:paraId="1C31FD17" w14:textId="27F80314" w:rsidR="008E3BA7" w:rsidRPr="00BF7956" w:rsidRDefault="00EE0F81"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3.4 care constă în obligaţiuni garantate cărora li se atribuie nivelul 1 sau 2 de calitate a creditului de către o ECAI desemnată.</w:t>
                  </w:r>
                </w:p>
              </w:tc>
            </w:tr>
          </w:tbl>
          <w:p w14:paraId="1585F199"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73B1B37" w14:textId="77777777" w:rsidTr="00144513">
              <w:tc>
                <w:tcPr>
                  <w:tcW w:w="856" w:type="dxa"/>
                </w:tcPr>
                <w:p w14:paraId="77B39A91" w14:textId="03A82B0A" w:rsidR="008E3BA7" w:rsidRPr="00BF7956" w:rsidRDefault="00FC6D2C"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840</w:t>
                  </w:r>
                </w:p>
              </w:tc>
              <w:tc>
                <w:tcPr>
                  <w:tcW w:w="3534" w:type="dxa"/>
                </w:tcPr>
                <w:p w14:paraId="403DA04A" w14:textId="09601838"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3.4.</w:t>
                  </w:r>
                  <w:r w:rsidR="00FC6D2C" w:rsidRPr="00BE3E94">
                    <w:rPr>
                      <w:b/>
                      <w:bCs/>
                      <w:color w:val="000000"/>
                      <w:sz w:val="20"/>
                      <w:szCs w:val="20"/>
                    </w:rPr>
                    <w:t>3</w:t>
                  </w:r>
                  <w:r w:rsidRPr="00BF7956">
                    <w:rPr>
                      <w:color w:val="000000"/>
                      <w:sz w:val="20"/>
                      <w:szCs w:val="20"/>
                    </w:rPr>
                    <w:t xml:space="preserve"> </w:t>
                  </w:r>
                  <w:r w:rsidRPr="00BF7956">
                    <w:rPr>
                      <w:b/>
                      <w:bCs/>
                      <w:color w:val="000000"/>
                      <w:sz w:val="20"/>
                      <w:szCs w:val="20"/>
                    </w:rPr>
                    <w:t xml:space="preserve">Obligaţiuni garantate de nivel 2A (CQS 1, CQS 2) </w:t>
                  </w:r>
                </w:p>
              </w:tc>
            </w:tr>
          </w:tbl>
          <w:p w14:paraId="4E923CF8"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B39D8E3" w14:textId="4575FF99" w:rsidR="008E3BA7" w:rsidRPr="00BF7956" w:rsidRDefault="008E3BA7" w:rsidP="008E3BA7">
            <w:pPr>
              <w:rPr>
                <w:b/>
                <w:strike/>
                <w:sz w:val="20"/>
                <w:szCs w:val="20"/>
                <w:lang w:val="ro-RO"/>
              </w:rPr>
            </w:pPr>
            <w:r w:rsidRPr="00BF7956">
              <w:rPr>
                <w:sz w:val="20"/>
                <w:szCs w:val="20"/>
              </w:rPr>
              <w:t>Necompatibil</w:t>
            </w:r>
          </w:p>
        </w:tc>
        <w:tc>
          <w:tcPr>
            <w:tcW w:w="2223" w:type="dxa"/>
          </w:tcPr>
          <w:p w14:paraId="55425614" w14:textId="488726C4" w:rsidR="008E3BA7" w:rsidRPr="00BF7956" w:rsidRDefault="008E3BA7" w:rsidP="008E3BA7">
            <w:pPr>
              <w:rPr>
                <w:sz w:val="20"/>
                <w:szCs w:val="20"/>
                <w:lang w:val="ro-RO"/>
              </w:rPr>
            </w:pPr>
            <w:r w:rsidRPr="00BF7956">
              <w:rPr>
                <w:sz w:val="20"/>
                <w:szCs w:val="20"/>
                <w:lang w:val="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6CED2065" w14:textId="77777777" w:rsidR="008E3BA7" w:rsidRPr="00BF7956" w:rsidRDefault="008E3BA7" w:rsidP="008E3BA7">
            <w:pPr>
              <w:jc w:val="both"/>
              <w:rPr>
                <w:sz w:val="20"/>
                <w:szCs w:val="20"/>
                <w:lang w:val="ro-RO"/>
              </w:rPr>
            </w:pPr>
          </w:p>
        </w:tc>
        <w:tc>
          <w:tcPr>
            <w:tcW w:w="992" w:type="dxa"/>
          </w:tcPr>
          <w:p w14:paraId="6000A871" w14:textId="77777777" w:rsidR="008E3BA7" w:rsidRPr="00BF7956" w:rsidRDefault="008E3BA7" w:rsidP="008E3BA7">
            <w:pPr>
              <w:jc w:val="both"/>
              <w:rPr>
                <w:sz w:val="20"/>
                <w:szCs w:val="20"/>
                <w:lang w:val="ro-RO"/>
              </w:rPr>
            </w:pPr>
          </w:p>
        </w:tc>
      </w:tr>
      <w:tr w:rsidR="008E3BA7" w:rsidRPr="00BF7956" w14:paraId="7E1D4E25"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24490079" w14:textId="77777777" w:rsidTr="00E5285D">
              <w:tc>
                <w:tcPr>
                  <w:tcW w:w="856" w:type="dxa"/>
                </w:tcPr>
                <w:p w14:paraId="27428881" w14:textId="5F0E4A1A"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850</w:t>
                  </w:r>
                </w:p>
              </w:tc>
              <w:tc>
                <w:tcPr>
                  <w:tcW w:w="3534" w:type="dxa"/>
                </w:tcPr>
                <w:p w14:paraId="3E7B8924" w14:textId="4E01A377" w:rsidR="008E3BA7"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3.4.3</w:t>
                  </w:r>
                  <w:r w:rsidRPr="00BF7956">
                    <w:rPr>
                      <w:color w:val="000000"/>
                      <w:sz w:val="20"/>
                      <w:szCs w:val="20"/>
                    </w:rPr>
                    <w:t xml:space="preserve"> </w:t>
                  </w:r>
                  <w:r w:rsidRPr="00BF7956">
                    <w:rPr>
                      <w:b/>
                      <w:bCs/>
                      <w:color w:val="000000"/>
                      <w:sz w:val="20"/>
                      <w:szCs w:val="20"/>
                    </w:rPr>
                    <w:t xml:space="preserve">Active de nivel 2A aferente sectorului public (CQS 1, CQS 2) </w:t>
                  </w:r>
                  <w:r w:rsidR="0065738E" w:rsidRPr="00BF7956">
                    <w:rPr>
                      <w:sz w:val="20"/>
                      <w:szCs w:val="20"/>
                    </w:rPr>
                    <w:t xml:space="preserve"> </w:t>
                  </w:r>
                  <w:r w:rsidR="0065738E" w:rsidRPr="00BF7956">
                    <w:rPr>
                      <w:color w:val="000000"/>
                      <w:sz w:val="20"/>
                      <w:szCs w:val="20"/>
                    </w:rPr>
                    <w:t>Cuantumul raportat la punctul 3.4 care constă în active care reprezintă creanţe asupra administraţiilor centrale, băncilor centrale, autorităţilor regionale, autorităţilor locale sau entităţilor din sectorul public sau creanţe care sunt garantate de acestea. A se reţine faptul că, în conformitate cu articolul 11 alineatul (1) literele (a) și (b) din Regulamentul delegat (UE) 2015/61, toate activele din sectorul public eligibile ca active de nivel 2A trebuie să aibă nivelul 1 sau 2 de calitate a creditului.</w:t>
                  </w:r>
                </w:p>
              </w:tc>
            </w:tr>
          </w:tbl>
          <w:p w14:paraId="7E919FC5"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E96D0A8" w14:textId="77777777" w:rsidTr="00144513">
              <w:tc>
                <w:tcPr>
                  <w:tcW w:w="856" w:type="dxa"/>
                </w:tcPr>
                <w:p w14:paraId="429E4E28" w14:textId="3C1DC230"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850</w:t>
                  </w:r>
                </w:p>
              </w:tc>
              <w:tc>
                <w:tcPr>
                  <w:tcW w:w="3534" w:type="dxa"/>
                </w:tcPr>
                <w:p w14:paraId="1424E464" w14:textId="1C00A9A6" w:rsidR="00097BD0" w:rsidRPr="00BF7956" w:rsidRDefault="00097BD0" w:rsidP="00097BD0">
                  <w:pPr>
                    <w:framePr w:hSpace="180" w:wrap="around" w:vAnchor="text" w:hAnchor="margin" w:y="137"/>
                    <w:spacing w:before="60" w:after="60"/>
                    <w:rPr>
                      <w:b/>
                      <w:bCs/>
                      <w:color w:val="000000"/>
                      <w:sz w:val="20"/>
                      <w:szCs w:val="20"/>
                      <w:lang w:val="ro-RO"/>
                    </w:rPr>
                  </w:pPr>
                  <w:r w:rsidRPr="00BF7956">
                    <w:rPr>
                      <w:b/>
                      <w:bCs/>
                      <w:color w:val="000000"/>
                      <w:sz w:val="20"/>
                      <w:szCs w:val="20"/>
                      <w:lang w:val="ro-RO"/>
                    </w:rPr>
                    <w:t>3.4.4 Active de nivel 2A aferente sectorului public (CQS 1, CQS 2)</w:t>
                  </w:r>
                </w:p>
                <w:p w14:paraId="665A9F86" w14:textId="14DD2FD9" w:rsidR="00097BD0" w:rsidRPr="00BF7956" w:rsidRDefault="00097BD0" w:rsidP="00097BD0">
                  <w:pPr>
                    <w:framePr w:hSpace="180" w:wrap="around" w:vAnchor="text" w:hAnchor="margin" w:y="137"/>
                    <w:spacing w:before="60" w:after="60"/>
                    <w:rPr>
                      <w:color w:val="000000"/>
                      <w:sz w:val="20"/>
                      <w:szCs w:val="20"/>
                      <w:lang w:val="ro-RO"/>
                    </w:rPr>
                  </w:pPr>
                  <w:r w:rsidRPr="00BF7956">
                    <w:rPr>
                      <w:color w:val="000000"/>
                      <w:sz w:val="20"/>
                      <w:szCs w:val="20"/>
                      <w:lang w:val="ro-RO"/>
                    </w:rPr>
                    <w:t>Cuantumul raportat la punctul 3.4 care constă în active care reprezintă creanțe a</w:t>
                  </w:r>
                  <w:r w:rsidR="00B2799B" w:rsidRPr="00B2799B">
                    <w:rPr>
                      <w:color w:val="000000"/>
                      <w:sz w:val="20"/>
                      <w:szCs w:val="20"/>
                      <w:lang w:val="en-US"/>
                    </w:rPr>
                    <w:t xml:space="preserve"> față de </w:t>
                  </w:r>
                  <w:r w:rsidRPr="00BF7956">
                    <w:rPr>
                      <w:color w:val="000000"/>
                      <w:sz w:val="20"/>
                      <w:szCs w:val="20"/>
                      <w:lang w:val="ro-RO"/>
                    </w:rPr>
                    <w:t>administrațiil</w:t>
                  </w:r>
                  <w:r w:rsidR="00B2799B">
                    <w:rPr>
                      <w:color w:val="000000"/>
                      <w:sz w:val="20"/>
                      <w:szCs w:val="20"/>
                      <w:lang w:val="ro-RO"/>
                    </w:rPr>
                    <w:t>e</w:t>
                  </w:r>
                  <w:r w:rsidRPr="00BF7956">
                    <w:rPr>
                      <w:color w:val="000000"/>
                      <w:sz w:val="20"/>
                      <w:szCs w:val="20"/>
                      <w:lang w:val="ro-RO"/>
                    </w:rPr>
                    <w:t xml:space="preserve"> centrale, băncil</w:t>
                  </w:r>
                  <w:r w:rsidR="00B2799B">
                    <w:rPr>
                      <w:color w:val="000000"/>
                      <w:sz w:val="20"/>
                      <w:szCs w:val="20"/>
                      <w:lang w:val="ro-RO"/>
                    </w:rPr>
                    <w:t>e</w:t>
                  </w:r>
                  <w:r w:rsidRPr="00BF7956">
                    <w:rPr>
                      <w:color w:val="000000"/>
                      <w:sz w:val="20"/>
                      <w:szCs w:val="20"/>
                      <w:lang w:val="ro-RO"/>
                    </w:rPr>
                    <w:t xml:space="preserve"> centrale, autoritățil</w:t>
                  </w:r>
                  <w:r w:rsidR="00B2799B">
                    <w:rPr>
                      <w:color w:val="000000"/>
                      <w:sz w:val="20"/>
                      <w:szCs w:val="20"/>
                      <w:lang w:val="ro-RO"/>
                    </w:rPr>
                    <w:t>e</w:t>
                  </w:r>
                  <w:r w:rsidRPr="00BF7956">
                    <w:rPr>
                      <w:color w:val="000000"/>
                      <w:sz w:val="20"/>
                      <w:szCs w:val="20"/>
                      <w:lang w:val="ro-RO"/>
                    </w:rPr>
                    <w:t xml:space="preserve"> regionale, autoritățil</w:t>
                  </w:r>
                  <w:r w:rsidR="00B2799B">
                    <w:rPr>
                      <w:color w:val="000000"/>
                      <w:sz w:val="20"/>
                      <w:szCs w:val="20"/>
                      <w:lang w:val="ro-RO"/>
                    </w:rPr>
                    <w:t>e</w:t>
                  </w:r>
                  <w:r w:rsidRPr="00BF7956">
                    <w:rPr>
                      <w:color w:val="000000"/>
                      <w:sz w:val="20"/>
                      <w:szCs w:val="20"/>
                      <w:lang w:val="ro-RO"/>
                    </w:rPr>
                    <w:t xml:space="preserve"> locale sau entitățil</w:t>
                  </w:r>
                  <w:r w:rsidR="00B2799B">
                    <w:rPr>
                      <w:color w:val="000000"/>
                      <w:sz w:val="20"/>
                      <w:szCs w:val="20"/>
                      <w:lang w:val="ro-RO"/>
                    </w:rPr>
                    <w:t>e</w:t>
                  </w:r>
                  <w:r w:rsidRPr="00BF7956">
                    <w:rPr>
                      <w:color w:val="000000"/>
                      <w:sz w:val="20"/>
                      <w:szCs w:val="20"/>
                      <w:lang w:val="ro-RO"/>
                    </w:rPr>
                    <w:t xml:space="preserve"> din sectorul public sau creanțe garantate de acestea.</w:t>
                  </w:r>
                </w:p>
                <w:p w14:paraId="4E2939AF" w14:textId="3DA6D7A8" w:rsidR="008E3BA7" w:rsidRPr="00BF7956" w:rsidRDefault="00097BD0" w:rsidP="00097BD0">
                  <w:pPr>
                    <w:pStyle w:val="CM4"/>
                    <w:framePr w:hSpace="180" w:wrap="around" w:vAnchor="text" w:hAnchor="margin" w:y="137"/>
                    <w:spacing w:before="60" w:after="60"/>
                    <w:rPr>
                      <w:color w:val="000000"/>
                      <w:sz w:val="20"/>
                      <w:szCs w:val="20"/>
                    </w:rPr>
                  </w:pPr>
                  <w:r w:rsidRPr="00BF7956">
                    <w:rPr>
                      <w:color w:val="000000"/>
                      <w:sz w:val="20"/>
                      <w:szCs w:val="20"/>
                      <w:lang w:val="ro-RO"/>
                    </w:rPr>
                    <w:t>În conformitate cu punctul 33, subpunctele.1) și 2) din Regulamentul nr.44/2020 privind cerințele de acoperire a necesarului de lichiditate pentru bănci, toate activele din sectorul public eligibile ca active de nivel 2A trebuie să aibă nivelul 1 sau 2 de calitate a creditului.</w:t>
                  </w:r>
                </w:p>
              </w:tc>
            </w:tr>
          </w:tbl>
          <w:p w14:paraId="33AB428D"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4C24E9F9" w14:textId="5756617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F30CBA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E008E9E" w14:textId="77777777" w:rsidR="008E3BA7" w:rsidRPr="00BF7956" w:rsidRDefault="008E3BA7" w:rsidP="008E3BA7">
            <w:pPr>
              <w:jc w:val="both"/>
              <w:rPr>
                <w:sz w:val="20"/>
                <w:szCs w:val="20"/>
                <w:lang w:val="ro-RO"/>
              </w:rPr>
            </w:pPr>
          </w:p>
        </w:tc>
        <w:tc>
          <w:tcPr>
            <w:tcW w:w="992" w:type="dxa"/>
          </w:tcPr>
          <w:p w14:paraId="066C26E8" w14:textId="77777777" w:rsidR="008E3BA7" w:rsidRPr="00BF7956" w:rsidRDefault="008E3BA7" w:rsidP="008E3BA7">
            <w:pPr>
              <w:jc w:val="both"/>
              <w:rPr>
                <w:sz w:val="20"/>
                <w:szCs w:val="20"/>
                <w:lang w:val="ro-RO"/>
              </w:rPr>
            </w:pPr>
          </w:p>
        </w:tc>
      </w:tr>
      <w:tr w:rsidR="008E3BA7" w:rsidRPr="00BF7956" w14:paraId="4FF12AE5"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3DA47DDD" w14:textId="77777777" w:rsidTr="00C9264A">
              <w:tc>
                <w:tcPr>
                  <w:tcW w:w="856" w:type="dxa"/>
                </w:tcPr>
                <w:p w14:paraId="1FA3E5FF" w14:textId="47082C84"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860</w:t>
                  </w:r>
                </w:p>
              </w:tc>
              <w:tc>
                <w:tcPr>
                  <w:tcW w:w="3534" w:type="dxa"/>
                </w:tcPr>
                <w:p w14:paraId="462EFB01"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3.5</w:t>
                  </w:r>
                  <w:r w:rsidRPr="00BF7956">
                    <w:rPr>
                      <w:color w:val="000000"/>
                      <w:sz w:val="20"/>
                      <w:szCs w:val="20"/>
                    </w:rPr>
                    <w:t xml:space="preserve"> </w:t>
                  </w:r>
                  <w:r w:rsidRPr="00BF7956">
                    <w:rPr>
                      <w:b/>
                      <w:bCs/>
                      <w:color w:val="000000"/>
                      <w:sz w:val="20"/>
                      <w:szCs w:val="20"/>
                    </w:rPr>
                    <w:t xml:space="preserve">Active tranzacţionabile de nivel 2B </w:t>
                  </w:r>
                </w:p>
                <w:p w14:paraId="6DBB186A" w14:textId="3B5500B0"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Valoarea de piaţă a activelor tranzacţionabile în conformitate cu articolele 7, 8 și 12 sau 13 din Regulamentul delegat (UE) 2015/61. Acţiunile sau unităţile deţinute în OPC-uri în conformitate cu articolul 15 din Regulamentul delegat (UE) 2015/61 care se califică drept active de nivel 2B se raportează în subcategoriile de mai jos corespunzătoare activelor-suport ale acestora.</w:t>
                  </w:r>
                </w:p>
              </w:tc>
            </w:tr>
          </w:tbl>
          <w:p w14:paraId="65CE2CDA"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6F083855" w14:textId="77777777" w:rsidTr="00144513">
              <w:tc>
                <w:tcPr>
                  <w:tcW w:w="856" w:type="dxa"/>
                </w:tcPr>
                <w:p w14:paraId="5A09877C" w14:textId="270F9A2D"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860</w:t>
                  </w:r>
                </w:p>
              </w:tc>
              <w:tc>
                <w:tcPr>
                  <w:tcW w:w="3534" w:type="dxa"/>
                </w:tcPr>
                <w:p w14:paraId="3354B6EE" w14:textId="77777777" w:rsidR="00097BD0" w:rsidRPr="00BF7956" w:rsidRDefault="00097BD0" w:rsidP="00097BD0">
                  <w:pPr>
                    <w:pStyle w:val="CM4"/>
                    <w:framePr w:hSpace="180" w:wrap="around" w:vAnchor="text" w:hAnchor="margin" w:y="137"/>
                    <w:rPr>
                      <w:b/>
                      <w:bCs/>
                      <w:color w:val="000000"/>
                      <w:sz w:val="20"/>
                      <w:szCs w:val="20"/>
                    </w:rPr>
                  </w:pPr>
                  <w:r w:rsidRPr="00BF7956">
                    <w:rPr>
                      <w:b/>
                      <w:bCs/>
                      <w:color w:val="000000"/>
                      <w:sz w:val="20"/>
                      <w:szCs w:val="20"/>
                    </w:rPr>
                    <w:t>3.5 Active tranzacționabile de nivel 2B</w:t>
                  </w:r>
                </w:p>
                <w:p w14:paraId="53FA8C45" w14:textId="77777777" w:rsidR="00097BD0" w:rsidRPr="00BF7956" w:rsidRDefault="00097BD0" w:rsidP="00097BD0">
                  <w:pPr>
                    <w:pStyle w:val="CM4"/>
                    <w:framePr w:hSpace="180" w:wrap="around" w:vAnchor="text" w:hAnchor="margin" w:y="137"/>
                    <w:rPr>
                      <w:color w:val="000000"/>
                      <w:sz w:val="20"/>
                      <w:szCs w:val="20"/>
                    </w:rPr>
                  </w:pPr>
                  <w:r w:rsidRPr="00BF7956">
                    <w:rPr>
                      <w:color w:val="000000"/>
                      <w:sz w:val="20"/>
                      <w:szCs w:val="20"/>
                    </w:rPr>
                    <w:t xml:space="preserve">Valoarea de piață a activelor tranzacționabile în conformitate la punctele 21-29, 35 și 36 din Regulamentul nr.44/2020 privind cerinţele de acoperire a necesarului de lichiditate pentru bănci. </w:t>
                  </w:r>
                </w:p>
                <w:p w14:paraId="74FB7D70" w14:textId="4DE41BAA" w:rsidR="008E3BA7" w:rsidRPr="00BF7956" w:rsidRDefault="00097BD0" w:rsidP="00097BD0">
                  <w:pPr>
                    <w:pStyle w:val="CM4"/>
                    <w:framePr w:hSpace="180" w:wrap="around" w:vAnchor="text" w:hAnchor="margin" w:y="137"/>
                    <w:rPr>
                      <w:color w:val="000000"/>
                      <w:sz w:val="20"/>
                      <w:szCs w:val="20"/>
                    </w:rPr>
                  </w:pPr>
                  <w:r w:rsidRPr="00BF7956">
                    <w:rPr>
                      <w:color w:val="000000"/>
                      <w:sz w:val="20"/>
                      <w:szCs w:val="20"/>
                    </w:rPr>
                    <w:t>Acțiunile sau unitățile deținute în OPC-uri în conformitate cu punctele 37-41 din Regulamentul nr.44/2020 privind cerinţele de acoperire a necesarului de lichiditate pentru bănci care se califică drept active de nivel 2B se raportează în subcategoriile de mai jos corespunzătoare activelor-suport ale acestora.</w:t>
                  </w:r>
                </w:p>
              </w:tc>
            </w:tr>
          </w:tbl>
          <w:p w14:paraId="319BA4A0" w14:textId="77777777" w:rsidR="008E3BA7" w:rsidRPr="00BF7956" w:rsidRDefault="008E3BA7" w:rsidP="008E3BA7">
            <w:pPr>
              <w:autoSpaceDE w:val="0"/>
              <w:autoSpaceDN w:val="0"/>
              <w:adjustRightInd w:val="0"/>
              <w:spacing w:before="60" w:after="60"/>
              <w:jc w:val="center"/>
              <w:rPr>
                <w:color w:val="000000"/>
                <w:sz w:val="20"/>
                <w:szCs w:val="20"/>
                <w:lang w:val="ro-MD"/>
              </w:rPr>
            </w:pPr>
          </w:p>
        </w:tc>
        <w:tc>
          <w:tcPr>
            <w:tcW w:w="1418" w:type="dxa"/>
          </w:tcPr>
          <w:p w14:paraId="3B076A83" w14:textId="19FB575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68DFC02"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0099917" w14:textId="77777777" w:rsidR="008E3BA7" w:rsidRPr="00BF7956" w:rsidRDefault="008E3BA7" w:rsidP="008E3BA7">
            <w:pPr>
              <w:jc w:val="both"/>
              <w:rPr>
                <w:sz w:val="20"/>
                <w:szCs w:val="20"/>
                <w:lang w:val="ro-RO"/>
              </w:rPr>
            </w:pPr>
          </w:p>
        </w:tc>
        <w:tc>
          <w:tcPr>
            <w:tcW w:w="992" w:type="dxa"/>
          </w:tcPr>
          <w:p w14:paraId="7B42E251" w14:textId="77777777" w:rsidR="008E3BA7" w:rsidRPr="00BF7956" w:rsidRDefault="008E3BA7" w:rsidP="008E3BA7">
            <w:pPr>
              <w:jc w:val="both"/>
              <w:rPr>
                <w:sz w:val="20"/>
                <w:szCs w:val="20"/>
                <w:lang w:val="ro-RO"/>
              </w:rPr>
            </w:pPr>
          </w:p>
        </w:tc>
      </w:tr>
      <w:tr w:rsidR="008E3BA7" w:rsidRPr="00BB5D62" w14:paraId="2077EE7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160CA6E0" w14:textId="77777777" w:rsidTr="002C3E80">
              <w:tc>
                <w:tcPr>
                  <w:tcW w:w="856" w:type="dxa"/>
                </w:tcPr>
                <w:p w14:paraId="6A7D5BBA" w14:textId="1FA08FDC"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870</w:t>
                  </w:r>
                </w:p>
              </w:tc>
              <w:tc>
                <w:tcPr>
                  <w:tcW w:w="3534" w:type="dxa"/>
                </w:tcPr>
                <w:p w14:paraId="6634E39B" w14:textId="468D5DF4" w:rsidR="008E3BA7" w:rsidRPr="00BF7956" w:rsidRDefault="008E3BA7" w:rsidP="0065738E">
                  <w:pPr>
                    <w:pStyle w:val="CM4"/>
                    <w:framePr w:hSpace="180" w:wrap="around" w:vAnchor="text" w:hAnchor="margin" w:y="137"/>
                    <w:spacing w:before="60" w:after="60"/>
                    <w:rPr>
                      <w:color w:val="000000"/>
                      <w:sz w:val="20"/>
                      <w:szCs w:val="20"/>
                    </w:rPr>
                  </w:pPr>
                  <w:r w:rsidRPr="00BE3E94">
                    <w:rPr>
                      <w:b/>
                      <w:bCs/>
                      <w:color w:val="000000"/>
                      <w:sz w:val="20"/>
                      <w:szCs w:val="20"/>
                    </w:rPr>
                    <w:t>3.5.1</w:t>
                  </w:r>
                  <w:r w:rsidRPr="00BF7956">
                    <w:rPr>
                      <w:color w:val="000000"/>
                      <w:sz w:val="20"/>
                      <w:szCs w:val="20"/>
                    </w:rPr>
                    <w:t xml:space="preserve"> </w:t>
                  </w:r>
                  <w:r w:rsidRPr="00BF7956">
                    <w:rPr>
                      <w:b/>
                      <w:bCs/>
                      <w:color w:val="000000"/>
                      <w:sz w:val="20"/>
                      <w:szCs w:val="20"/>
                    </w:rPr>
                    <w:t xml:space="preserve">ABS de nivel 2B (CQS 1) </w:t>
                  </w:r>
                  <w:r w:rsidR="0065738E" w:rsidRPr="00BF7956">
                    <w:rPr>
                      <w:sz w:val="20"/>
                      <w:szCs w:val="20"/>
                    </w:rPr>
                    <w:t xml:space="preserve"> </w:t>
                  </w:r>
                  <w:r w:rsidR="0065738E" w:rsidRPr="00BF7956">
                    <w:rPr>
                      <w:color w:val="000000"/>
                      <w:sz w:val="20"/>
                      <w:szCs w:val="20"/>
                    </w:rPr>
                    <w:t>Cuantumul raportat la punctul 3.5 care constă în titluri garantate cu active (inclusiv RMBS). A se reţine faptul că, în conformitate cu articolul 13 alineatul (2) litera (a) din Regulamentul delegat (UE) 2015/61, toate titlurile garantate cu active eligibile ca active de nivel 2B au nivelul 1 de calitate a creditului.</w:t>
                  </w:r>
                </w:p>
              </w:tc>
            </w:tr>
          </w:tbl>
          <w:p w14:paraId="70884DE8"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4ED8BF01" w14:textId="77777777" w:rsidTr="00144513">
              <w:tc>
                <w:tcPr>
                  <w:tcW w:w="856" w:type="dxa"/>
                </w:tcPr>
                <w:p w14:paraId="49534635" w14:textId="60B1737D"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870</w:t>
                  </w:r>
                </w:p>
              </w:tc>
              <w:tc>
                <w:tcPr>
                  <w:tcW w:w="3534" w:type="dxa"/>
                </w:tcPr>
                <w:p w14:paraId="1AB93952" w14:textId="4306387A" w:rsidR="008E3BA7" w:rsidRPr="00BF7956" w:rsidRDefault="008E3BA7" w:rsidP="008E3BA7">
                  <w:pPr>
                    <w:pStyle w:val="CM4"/>
                    <w:framePr w:hSpace="180" w:wrap="around" w:vAnchor="text" w:hAnchor="margin" w:y="137"/>
                    <w:spacing w:before="60" w:after="60"/>
                    <w:rPr>
                      <w:color w:val="000000"/>
                      <w:sz w:val="20"/>
                      <w:szCs w:val="20"/>
                    </w:rPr>
                  </w:pPr>
                  <w:r w:rsidRPr="00BE3E94">
                    <w:rPr>
                      <w:b/>
                      <w:bCs/>
                      <w:color w:val="000000"/>
                      <w:sz w:val="20"/>
                      <w:szCs w:val="20"/>
                    </w:rPr>
                    <w:t>3.5.1</w:t>
                  </w:r>
                  <w:r w:rsidRPr="00BF7956">
                    <w:rPr>
                      <w:color w:val="000000"/>
                      <w:sz w:val="20"/>
                      <w:szCs w:val="20"/>
                    </w:rPr>
                    <w:t xml:space="preserve"> </w:t>
                  </w:r>
                  <w:r w:rsidRPr="00BF7956">
                    <w:rPr>
                      <w:b/>
                      <w:bCs/>
                      <w:color w:val="000000"/>
                      <w:sz w:val="20"/>
                      <w:szCs w:val="20"/>
                    </w:rPr>
                    <w:t xml:space="preserve">ABS de nivel 2B (CQS 1) </w:t>
                  </w:r>
                </w:p>
              </w:tc>
            </w:tr>
          </w:tbl>
          <w:p w14:paraId="38219ED7"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7CD764C2" w14:textId="0674FC07"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6E4171B1" w14:textId="07D98BFA" w:rsidR="008E3BA7" w:rsidRPr="00BF7956" w:rsidRDefault="008E3BA7" w:rsidP="008E3BA7">
            <w:pPr>
              <w:rPr>
                <w:sz w:val="20"/>
                <w:szCs w:val="20"/>
                <w:lang w:val="ro-RO"/>
              </w:rPr>
            </w:pPr>
            <w:r w:rsidRPr="00BF7956">
              <w:rPr>
                <w:sz w:val="20"/>
                <w:szCs w:val="20"/>
                <w:lang w:val="ro-RO"/>
              </w:rPr>
              <w:t>Prevederile aferente titluri garantate cu active – ABS nu au fost transpuse deoarece titlurile garantate cu active – ABS,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5FB38005" w14:textId="77777777" w:rsidR="008E3BA7" w:rsidRPr="00BF7956" w:rsidRDefault="008E3BA7" w:rsidP="008E3BA7">
            <w:pPr>
              <w:jc w:val="both"/>
              <w:rPr>
                <w:sz w:val="20"/>
                <w:szCs w:val="20"/>
                <w:lang w:val="ro-RO"/>
              </w:rPr>
            </w:pPr>
          </w:p>
        </w:tc>
        <w:tc>
          <w:tcPr>
            <w:tcW w:w="992" w:type="dxa"/>
          </w:tcPr>
          <w:p w14:paraId="04432F3D" w14:textId="77777777" w:rsidR="008E3BA7" w:rsidRPr="00BF7956" w:rsidRDefault="008E3BA7" w:rsidP="008E3BA7">
            <w:pPr>
              <w:jc w:val="both"/>
              <w:rPr>
                <w:sz w:val="20"/>
                <w:szCs w:val="20"/>
                <w:lang w:val="ro-RO"/>
              </w:rPr>
            </w:pPr>
          </w:p>
        </w:tc>
      </w:tr>
      <w:tr w:rsidR="008E3BA7" w:rsidRPr="00BF7956" w14:paraId="5F37CCE2" w14:textId="77777777" w:rsidTr="00C25F84">
        <w:tc>
          <w:tcPr>
            <w:tcW w:w="4576" w:type="dxa"/>
          </w:tcPr>
          <w:tbl>
            <w:tblPr>
              <w:tblStyle w:val="TableGrid"/>
              <w:tblW w:w="4399" w:type="dxa"/>
              <w:tblLayout w:type="fixed"/>
              <w:tblLook w:val="04A0" w:firstRow="1" w:lastRow="0" w:firstColumn="1" w:lastColumn="0" w:noHBand="0" w:noVBand="1"/>
            </w:tblPr>
            <w:tblGrid>
              <w:gridCol w:w="856"/>
              <w:gridCol w:w="3543"/>
            </w:tblGrid>
            <w:tr w:rsidR="008E3BA7" w:rsidRPr="00BB5D62" w14:paraId="4DBF8E71" w14:textId="77777777" w:rsidTr="00507437">
              <w:tc>
                <w:tcPr>
                  <w:tcW w:w="856" w:type="dxa"/>
                </w:tcPr>
                <w:p w14:paraId="7E6A929F" w14:textId="385A3AE6"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880</w:t>
                  </w:r>
                </w:p>
              </w:tc>
              <w:tc>
                <w:tcPr>
                  <w:tcW w:w="3543" w:type="dxa"/>
                </w:tcPr>
                <w:p w14:paraId="7D5EEB8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3.5.2</w:t>
                  </w:r>
                  <w:r w:rsidRPr="00BF7956">
                    <w:rPr>
                      <w:color w:val="000000"/>
                      <w:sz w:val="20"/>
                      <w:szCs w:val="20"/>
                    </w:rPr>
                    <w:t xml:space="preserve"> </w:t>
                  </w:r>
                  <w:r w:rsidRPr="00BF7956">
                    <w:rPr>
                      <w:b/>
                      <w:bCs/>
                      <w:color w:val="000000"/>
                      <w:sz w:val="20"/>
                      <w:szCs w:val="20"/>
                    </w:rPr>
                    <w:t xml:space="preserve">Obligaţiuni garantate de nivel 2B (CQS 1-6) </w:t>
                  </w:r>
                </w:p>
                <w:p w14:paraId="5987E741" w14:textId="79A9085F"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obligaţiuni garantate.</w:t>
                  </w:r>
                </w:p>
              </w:tc>
            </w:tr>
          </w:tbl>
          <w:p w14:paraId="4C8D2C84"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9" w:type="dxa"/>
              <w:tblLayout w:type="fixed"/>
              <w:tblLook w:val="04A0" w:firstRow="1" w:lastRow="0" w:firstColumn="1" w:lastColumn="0" w:noHBand="0" w:noVBand="1"/>
            </w:tblPr>
            <w:tblGrid>
              <w:gridCol w:w="856"/>
              <w:gridCol w:w="3543"/>
            </w:tblGrid>
            <w:tr w:rsidR="008E3BA7" w:rsidRPr="00BB5D62" w14:paraId="04822DF3" w14:textId="77777777" w:rsidTr="00144513">
              <w:tc>
                <w:tcPr>
                  <w:tcW w:w="856" w:type="dxa"/>
                </w:tcPr>
                <w:p w14:paraId="1F36F5C0" w14:textId="12A87414"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880</w:t>
                  </w:r>
                </w:p>
              </w:tc>
              <w:tc>
                <w:tcPr>
                  <w:tcW w:w="3543" w:type="dxa"/>
                </w:tcPr>
                <w:p w14:paraId="6B781CB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3.5.2</w:t>
                  </w:r>
                  <w:r w:rsidRPr="00BF7956">
                    <w:rPr>
                      <w:color w:val="000000"/>
                      <w:sz w:val="20"/>
                      <w:szCs w:val="20"/>
                    </w:rPr>
                    <w:t xml:space="preserve"> </w:t>
                  </w:r>
                  <w:r w:rsidRPr="00BF7956">
                    <w:rPr>
                      <w:b/>
                      <w:bCs/>
                      <w:color w:val="000000"/>
                      <w:sz w:val="20"/>
                      <w:szCs w:val="20"/>
                    </w:rPr>
                    <w:t xml:space="preserve">Obligaţiuni garantate de nivel 2B (CQS 1-6) </w:t>
                  </w:r>
                </w:p>
                <w:p w14:paraId="1A7E90B5" w14:textId="6379EBCB" w:rsidR="008E3BA7" w:rsidRPr="00BF7956" w:rsidRDefault="008E3BA7" w:rsidP="008E3BA7">
                  <w:pPr>
                    <w:pStyle w:val="CM4"/>
                    <w:framePr w:hSpace="180" w:wrap="around" w:vAnchor="text" w:hAnchor="margin" w:y="137"/>
                    <w:spacing w:before="60" w:after="60"/>
                    <w:rPr>
                      <w:color w:val="000000"/>
                      <w:sz w:val="20"/>
                      <w:szCs w:val="20"/>
                    </w:rPr>
                  </w:pPr>
                </w:p>
              </w:tc>
            </w:tr>
          </w:tbl>
          <w:p w14:paraId="5EF1B35F"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97B212B" w14:textId="59AD292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3B470C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C57230A" w14:textId="77777777" w:rsidR="008E3BA7" w:rsidRPr="00BF7956" w:rsidRDefault="008E3BA7" w:rsidP="008E3BA7">
            <w:pPr>
              <w:jc w:val="both"/>
              <w:rPr>
                <w:sz w:val="20"/>
                <w:szCs w:val="20"/>
                <w:lang w:val="ro-RO"/>
              </w:rPr>
            </w:pPr>
          </w:p>
        </w:tc>
        <w:tc>
          <w:tcPr>
            <w:tcW w:w="992" w:type="dxa"/>
          </w:tcPr>
          <w:p w14:paraId="75E7F891" w14:textId="77777777" w:rsidR="008E3BA7" w:rsidRPr="00BF7956" w:rsidRDefault="008E3BA7" w:rsidP="008E3BA7">
            <w:pPr>
              <w:jc w:val="both"/>
              <w:rPr>
                <w:sz w:val="20"/>
                <w:szCs w:val="20"/>
                <w:lang w:val="ro-RO"/>
              </w:rPr>
            </w:pPr>
          </w:p>
        </w:tc>
      </w:tr>
      <w:tr w:rsidR="008E3BA7" w:rsidRPr="00BF7956" w14:paraId="3D3C1B70"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E23884E" w14:textId="77777777" w:rsidTr="00AC5CE3">
              <w:tc>
                <w:tcPr>
                  <w:tcW w:w="856" w:type="dxa"/>
                </w:tcPr>
                <w:p w14:paraId="48C8591F" w14:textId="64B31DAB"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890</w:t>
                  </w:r>
                </w:p>
              </w:tc>
              <w:tc>
                <w:tcPr>
                  <w:tcW w:w="3534" w:type="dxa"/>
                </w:tcPr>
                <w:p w14:paraId="263B584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3.5.3</w:t>
                  </w:r>
                  <w:r w:rsidRPr="00BF7956">
                    <w:rPr>
                      <w:color w:val="000000"/>
                      <w:sz w:val="20"/>
                      <w:szCs w:val="20"/>
                    </w:rPr>
                    <w:t xml:space="preserve"> </w:t>
                  </w:r>
                  <w:r w:rsidRPr="00BF7956">
                    <w:rPr>
                      <w:b/>
                      <w:bCs/>
                      <w:color w:val="000000"/>
                      <w:sz w:val="20"/>
                      <w:szCs w:val="20"/>
                    </w:rPr>
                    <w:t xml:space="preserve">Obligaţiuni corporative de nivel 2B (CQS 1-3) </w:t>
                  </w:r>
                </w:p>
                <w:p w14:paraId="490FCC75" w14:textId="049AD781"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titluri de datorie emise de societăţile comerciale.</w:t>
                  </w:r>
                </w:p>
              </w:tc>
            </w:tr>
          </w:tbl>
          <w:p w14:paraId="02F90EE3"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73F6FB32" w14:textId="77777777" w:rsidTr="00144513">
              <w:tc>
                <w:tcPr>
                  <w:tcW w:w="856" w:type="dxa"/>
                </w:tcPr>
                <w:p w14:paraId="5BBD55C3" w14:textId="5757C45B"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890</w:t>
                  </w:r>
                </w:p>
              </w:tc>
              <w:tc>
                <w:tcPr>
                  <w:tcW w:w="3534" w:type="dxa"/>
                </w:tcPr>
                <w:p w14:paraId="0848269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E3E94">
                    <w:rPr>
                      <w:b/>
                      <w:bCs/>
                      <w:color w:val="000000"/>
                      <w:sz w:val="20"/>
                      <w:szCs w:val="20"/>
                    </w:rPr>
                    <w:t>3.5.3</w:t>
                  </w:r>
                  <w:r w:rsidRPr="00BF7956">
                    <w:rPr>
                      <w:color w:val="000000"/>
                      <w:sz w:val="20"/>
                      <w:szCs w:val="20"/>
                    </w:rPr>
                    <w:t xml:space="preserve"> </w:t>
                  </w:r>
                  <w:r w:rsidRPr="00BF7956">
                    <w:rPr>
                      <w:b/>
                      <w:bCs/>
                      <w:color w:val="000000"/>
                      <w:sz w:val="20"/>
                      <w:szCs w:val="20"/>
                    </w:rPr>
                    <w:t xml:space="preserve">Obligaţiuni corporative de nivel 2B (CQS 1-3) </w:t>
                  </w:r>
                </w:p>
                <w:p w14:paraId="098FFD59" w14:textId="2FF8E4EC" w:rsidR="008E3BA7" w:rsidRPr="00BF7956" w:rsidRDefault="00097BD0"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titluri de creanță emise de societățile comerciale.</w:t>
                  </w:r>
                </w:p>
              </w:tc>
            </w:tr>
          </w:tbl>
          <w:p w14:paraId="27BCD85C"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2C4F640" w14:textId="053C1A67"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927C1E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5468DC9" w14:textId="77777777" w:rsidR="008E3BA7" w:rsidRPr="00BF7956" w:rsidRDefault="008E3BA7" w:rsidP="008E3BA7">
            <w:pPr>
              <w:jc w:val="both"/>
              <w:rPr>
                <w:sz w:val="20"/>
                <w:szCs w:val="20"/>
                <w:lang w:val="ro-RO"/>
              </w:rPr>
            </w:pPr>
          </w:p>
        </w:tc>
        <w:tc>
          <w:tcPr>
            <w:tcW w:w="992" w:type="dxa"/>
          </w:tcPr>
          <w:p w14:paraId="2EBA542D" w14:textId="77777777" w:rsidR="008E3BA7" w:rsidRPr="00BF7956" w:rsidRDefault="008E3BA7" w:rsidP="008E3BA7">
            <w:pPr>
              <w:jc w:val="both"/>
              <w:rPr>
                <w:sz w:val="20"/>
                <w:szCs w:val="20"/>
                <w:lang w:val="ro-RO"/>
              </w:rPr>
            </w:pPr>
          </w:p>
        </w:tc>
      </w:tr>
      <w:tr w:rsidR="008E3BA7" w:rsidRPr="00BF7956" w14:paraId="79FCC2CF"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4E3E82B" w14:textId="77777777" w:rsidTr="00B42DBC">
              <w:tc>
                <w:tcPr>
                  <w:tcW w:w="856" w:type="dxa"/>
                </w:tcPr>
                <w:p w14:paraId="358808D1" w14:textId="434A27E9"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900</w:t>
                  </w:r>
                </w:p>
              </w:tc>
              <w:tc>
                <w:tcPr>
                  <w:tcW w:w="3534" w:type="dxa"/>
                </w:tcPr>
                <w:p w14:paraId="727D6CC2"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3.5.4</w:t>
                  </w:r>
                  <w:r w:rsidRPr="00BF7956">
                    <w:rPr>
                      <w:color w:val="000000"/>
                      <w:sz w:val="20"/>
                      <w:szCs w:val="20"/>
                    </w:rPr>
                    <w:t xml:space="preserve"> </w:t>
                  </w:r>
                  <w:r w:rsidRPr="00BF7956">
                    <w:rPr>
                      <w:b/>
                      <w:bCs/>
                      <w:color w:val="000000"/>
                      <w:sz w:val="20"/>
                      <w:szCs w:val="20"/>
                    </w:rPr>
                    <w:t xml:space="preserve">Acţiuni de nivel 2B </w:t>
                  </w:r>
                </w:p>
                <w:p w14:paraId="3EC70A53" w14:textId="5B39AACF"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acţiuni.</w:t>
                  </w:r>
                </w:p>
              </w:tc>
            </w:tr>
          </w:tbl>
          <w:p w14:paraId="61950D52"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67E0F86C" w14:textId="77777777" w:rsidTr="00F0795F">
              <w:tc>
                <w:tcPr>
                  <w:tcW w:w="856" w:type="dxa"/>
                </w:tcPr>
                <w:p w14:paraId="0DA8F430" w14:textId="7A730474"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900</w:t>
                  </w:r>
                </w:p>
              </w:tc>
              <w:tc>
                <w:tcPr>
                  <w:tcW w:w="3534" w:type="dxa"/>
                </w:tcPr>
                <w:p w14:paraId="25AC9D9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3.5.4</w:t>
                  </w:r>
                  <w:r w:rsidRPr="00BF7956">
                    <w:rPr>
                      <w:color w:val="000000"/>
                      <w:sz w:val="20"/>
                      <w:szCs w:val="20"/>
                    </w:rPr>
                    <w:t xml:space="preserve"> </w:t>
                  </w:r>
                  <w:r w:rsidRPr="00BF7956">
                    <w:rPr>
                      <w:b/>
                      <w:bCs/>
                      <w:color w:val="000000"/>
                      <w:sz w:val="20"/>
                      <w:szCs w:val="20"/>
                    </w:rPr>
                    <w:t xml:space="preserve">Acţiuni de nivel 2B </w:t>
                  </w:r>
                </w:p>
                <w:p w14:paraId="6A26A6FC" w14:textId="6D3671C7" w:rsidR="008E3BA7" w:rsidRPr="00BF7956" w:rsidRDefault="00097BD0"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acțiuni.</w:t>
                  </w:r>
                </w:p>
              </w:tc>
            </w:tr>
          </w:tbl>
          <w:p w14:paraId="2E2CF282"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0D603866" w14:textId="79EEAFD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F606C5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129CDF3" w14:textId="77777777" w:rsidR="008E3BA7" w:rsidRPr="00BF7956" w:rsidRDefault="008E3BA7" w:rsidP="008E3BA7">
            <w:pPr>
              <w:jc w:val="both"/>
              <w:rPr>
                <w:sz w:val="20"/>
                <w:szCs w:val="20"/>
                <w:lang w:val="ro-RO"/>
              </w:rPr>
            </w:pPr>
          </w:p>
        </w:tc>
        <w:tc>
          <w:tcPr>
            <w:tcW w:w="992" w:type="dxa"/>
          </w:tcPr>
          <w:p w14:paraId="6BCEDCE2" w14:textId="77777777" w:rsidR="008E3BA7" w:rsidRPr="00BF7956" w:rsidRDefault="008E3BA7" w:rsidP="008E3BA7">
            <w:pPr>
              <w:jc w:val="both"/>
              <w:rPr>
                <w:sz w:val="20"/>
                <w:szCs w:val="20"/>
                <w:lang w:val="ro-RO"/>
              </w:rPr>
            </w:pPr>
          </w:p>
        </w:tc>
      </w:tr>
      <w:tr w:rsidR="008E3BA7" w:rsidRPr="00BF7956" w14:paraId="4B579DEE"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1282D17" w14:textId="77777777" w:rsidTr="00B42DBC">
              <w:tc>
                <w:tcPr>
                  <w:tcW w:w="856" w:type="dxa"/>
                </w:tcPr>
                <w:p w14:paraId="664EA78A" w14:textId="4E5A9E57"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910</w:t>
                  </w:r>
                </w:p>
              </w:tc>
              <w:tc>
                <w:tcPr>
                  <w:tcW w:w="3534" w:type="dxa"/>
                </w:tcPr>
                <w:p w14:paraId="59F9E049"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3.5.5</w:t>
                  </w:r>
                  <w:r w:rsidRPr="00BF7956">
                    <w:rPr>
                      <w:color w:val="000000"/>
                      <w:sz w:val="20"/>
                      <w:szCs w:val="20"/>
                    </w:rPr>
                    <w:t xml:space="preserve"> </w:t>
                  </w:r>
                  <w:r w:rsidRPr="00BF7956">
                    <w:rPr>
                      <w:b/>
                      <w:bCs/>
                      <w:color w:val="000000"/>
                      <w:sz w:val="20"/>
                      <w:szCs w:val="20"/>
                    </w:rPr>
                    <w:t xml:space="preserve">Active de nivel 2B aferente sectorului public (CQS 3-5) </w:t>
                  </w:r>
                </w:p>
                <w:p w14:paraId="727E44F4" w14:textId="22022572"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active de nivel 2B neraportate la punctele 3.5.1-3.5.4.</w:t>
                  </w:r>
                </w:p>
              </w:tc>
            </w:tr>
          </w:tbl>
          <w:p w14:paraId="265D494C"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29546DF" w14:textId="77777777" w:rsidTr="00F0795F">
              <w:tc>
                <w:tcPr>
                  <w:tcW w:w="856" w:type="dxa"/>
                </w:tcPr>
                <w:p w14:paraId="4BC65C76" w14:textId="5CB7BE87"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910</w:t>
                  </w:r>
                </w:p>
              </w:tc>
              <w:tc>
                <w:tcPr>
                  <w:tcW w:w="3534" w:type="dxa"/>
                </w:tcPr>
                <w:p w14:paraId="3E39EFD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3.5.5</w:t>
                  </w:r>
                  <w:r w:rsidRPr="00BF7956">
                    <w:rPr>
                      <w:color w:val="000000"/>
                      <w:sz w:val="20"/>
                      <w:szCs w:val="20"/>
                    </w:rPr>
                    <w:t xml:space="preserve"> </w:t>
                  </w:r>
                  <w:r w:rsidRPr="00BF7956">
                    <w:rPr>
                      <w:b/>
                      <w:bCs/>
                      <w:color w:val="000000"/>
                      <w:sz w:val="20"/>
                      <w:szCs w:val="20"/>
                    </w:rPr>
                    <w:t xml:space="preserve">Active de nivel 2B aferente sectorului public (CQS 3-5) </w:t>
                  </w:r>
                </w:p>
                <w:p w14:paraId="13D5F7EF" w14:textId="259DE1DB" w:rsidR="008E3BA7" w:rsidRPr="00BF7956" w:rsidRDefault="00097BD0"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3.5 care constă în active de nivel 2B neraportate la punctele 3.5.1-3.5.4.</w:t>
                  </w:r>
                </w:p>
              </w:tc>
            </w:tr>
          </w:tbl>
          <w:p w14:paraId="63D1AD2B"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DED2C2D" w14:textId="07665AF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EC4A73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94FE656" w14:textId="77777777" w:rsidR="008E3BA7" w:rsidRPr="00BF7956" w:rsidRDefault="008E3BA7" w:rsidP="008E3BA7">
            <w:pPr>
              <w:jc w:val="both"/>
              <w:rPr>
                <w:sz w:val="20"/>
                <w:szCs w:val="20"/>
                <w:lang w:val="ro-RO"/>
              </w:rPr>
            </w:pPr>
          </w:p>
        </w:tc>
        <w:tc>
          <w:tcPr>
            <w:tcW w:w="992" w:type="dxa"/>
          </w:tcPr>
          <w:p w14:paraId="794446A8" w14:textId="77777777" w:rsidR="008E3BA7" w:rsidRPr="00BF7956" w:rsidRDefault="008E3BA7" w:rsidP="008E3BA7">
            <w:pPr>
              <w:jc w:val="both"/>
              <w:rPr>
                <w:sz w:val="20"/>
                <w:szCs w:val="20"/>
                <w:lang w:val="ro-RO"/>
              </w:rPr>
            </w:pPr>
          </w:p>
        </w:tc>
      </w:tr>
      <w:tr w:rsidR="008E3BA7" w:rsidRPr="00BF7956" w14:paraId="0C7B8365"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26D7B732" w14:textId="77777777" w:rsidTr="0070362F">
              <w:tc>
                <w:tcPr>
                  <w:tcW w:w="856" w:type="dxa"/>
                </w:tcPr>
                <w:p w14:paraId="2D56AD4A" w14:textId="476351DE"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920</w:t>
                  </w:r>
                </w:p>
              </w:tc>
              <w:tc>
                <w:tcPr>
                  <w:tcW w:w="3534" w:type="dxa"/>
                </w:tcPr>
                <w:p w14:paraId="7142B2F1" w14:textId="27FD82E8" w:rsidR="008E3BA7" w:rsidRPr="00BF7956" w:rsidRDefault="008E3BA7" w:rsidP="008E3BA7">
                  <w:pPr>
                    <w:pStyle w:val="CM4"/>
                    <w:framePr w:hSpace="180" w:wrap="around" w:vAnchor="text" w:hAnchor="margin" w:y="137"/>
                    <w:spacing w:before="60" w:after="60"/>
                    <w:rPr>
                      <w:color w:val="000000"/>
                      <w:sz w:val="20"/>
                      <w:szCs w:val="20"/>
                    </w:rPr>
                  </w:pPr>
                  <w:r w:rsidRPr="00EB5DC6">
                    <w:rPr>
                      <w:b/>
                      <w:bCs/>
                      <w:color w:val="000000"/>
                      <w:sz w:val="20"/>
                      <w:szCs w:val="20"/>
                    </w:rPr>
                    <w:t>3.6</w:t>
                  </w:r>
                  <w:r w:rsidRPr="00BF7956">
                    <w:rPr>
                      <w:color w:val="000000"/>
                      <w:sz w:val="20"/>
                      <w:szCs w:val="20"/>
                    </w:rPr>
                    <w:t xml:space="preserve"> </w:t>
                  </w:r>
                  <w:r w:rsidRPr="00BF7956">
                    <w:rPr>
                      <w:b/>
                      <w:bCs/>
                      <w:color w:val="000000"/>
                      <w:sz w:val="20"/>
                      <w:szCs w:val="20"/>
                    </w:rPr>
                    <w:t xml:space="preserve">Alte active tranzacţionabile </w:t>
                  </w:r>
                  <w:r w:rsidR="0065738E" w:rsidRPr="00BF7956">
                    <w:rPr>
                      <w:sz w:val="20"/>
                      <w:szCs w:val="20"/>
                    </w:rPr>
                    <w:t xml:space="preserve"> </w:t>
                  </w:r>
                  <w:r w:rsidR="0065738E" w:rsidRPr="00BF7956">
                    <w:rPr>
                      <w:color w:val="000000"/>
                      <w:sz w:val="20"/>
                      <w:szCs w:val="20"/>
                    </w:rPr>
                    <w:t>Valoarea de piaţă a activelor tranzacţionabile, altele decât cele raportate la punctele 3.3, 3.4 și 3.5. Titlurile de valoare și fluxurile de titluri de valoare care rezultă din alte active tranzacţionabile sub formă de active intragrup nu se raportează în secţiunea privind capacitatea de compensare. Cu toate acestea, fluxurile de numerar generate de astfel de elemente se raportează în partea relevantă din secţiunile 1 și 2 din formular.</w:t>
                  </w:r>
                </w:p>
              </w:tc>
            </w:tr>
          </w:tbl>
          <w:p w14:paraId="00D403AB"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4A79BFDC" w14:textId="77777777" w:rsidTr="00F0795F">
              <w:tc>
                <w:tcPr>
                  <w:tcW w:w="856" w:type="dxa"/>
                </w:tcPr>
                <w:p w14:paraId="76BB4B85" w14:textId="6D948E9A"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920</w:t>
                  </w:r>
                </w:p>
              </w:tc>
              <w:tc>
                <w:tcPr>
                  <w:tcW w:w="3534" w:type="dxa"/>
                </w:tcPr>
                <w:p w14:paraId="7B4AF2F7" w14:textId="1A247201" w:rsidR="00097BD0" w:rsidRPr="00BF7956" w:rsidRDefault="008E3BA7" w:rsidP="00097BD0">
                  <w:pPr>
                    <w:pStyle w:val="CM4"/>
                    <w:framePr w:hSpace="180" w:wrap="around" w:vAnchor="text" w:hAnchor="margin" w:y="137"/>
                    <w:spacing w:before="60" w:after="60"/>
                    <w:rPr>
                      <w:color w:val="000000"/>
                      <w:sz w:val="20"/>
                      <w:szCs w:val="20"/>
                    </w:rPr>
                  </w:pPr>
                  <w:r w:rsidRPr="00EB5DC6">
                    <w:rPr>
                      <w:b/>
                      <w:bCs/>
                      <w:color w:val="000000"/>
                      <w:sz w:val="20"/>
                      <w:szCs w:val="20"/>
                    </w:rPr>
                    <w:t>3.6</w:t>
                  </w:r>
                  <w:r w:rsidRPr="00BF7956">
                    <w:rPr>
                      <w:color w:val="000000"/>
                      <w:sz w:val="20"/>
                      <w:szCs w:val="20"/>
                    </w:rPr>
                    <w:t xml:space="preserve"> </w:t>
                  </w:r>
                  <w:r w:rsidRPr="00BF7956">
                    <w:rPr>
                      <w:b/>
                      <w:bCs/>
                      <w:color w:val="000000"/>
                      <w:sz w:val="20"/>
                      <w:szCs w:val="20"/>
                    </w:rPr>
                    <w:t xml:space="preserve">Alte active tranzacţionabile </w:t>
                  </w:r>
                  <w:r w:rsidR="00097BD0" w:rsidRPr="00BF7956">
                    <w:rPr>
                      <w:sz w:val="20"/>
                      <w:szCs w:val="20"/>
                    </w:rPr>
                    <w:t xml:space="preserve"> </w:t>
                  </w:r>
                  <w:r w:rsidR="00097BD0" w:rsidRPr="00BF7956">
                    <w:rPr>
                      <w:color w:val="000000"/>
                      <w:sz w:val="20"/>
                      <w:szCs w:val="20"/>
                    </w:rPr>
                    <w:t>Valoarea de piață a activelor tranzacționabile, altele decât cele raportate la punctele 3.3, 3.4 și 3.5.</w:t>
                  </w:r>
                </w:p>
                <w:p w14:paraId="0A4D170B" w14:textId="0557F37B" w:rsidR="008E3BA7" w:rsidRPr="00BF7956" w:rsidRDefault="00097BD0" w:rsidP="00097BD0">
                  <w:pPr>
                    <w:pStyle w:val="CM4"/>
                    <w:framePr w:hSpace="180" w:wrap="around" w:vAnchor="text" w:hAnchor="margin" w:y="137"/>
                    <w:spacing w:before="60" w:after="60"/>
                    <w:rPr>
                      <w:color w:val="000000"/>
                      <w:sz w:val="20"/>
                      <w:szCs w:val="20"/>
                    </w:rPr>
                  </w:pPr>
                  <w:r w:rsidRPr="00BF7956">
                    <w:rPr>
                      <w:color w:val="000000"/>
                      <w:sz w:val="20"/>
                      <w:szCs w:val="20"/>
                    </w:rPr>
                    <w:t>Titlurile de valoare și fluxurile de titluri de valoare care rezultă din alte active tranzacționabile sub formă de emisiuni proprii sau intragrup nu trebuie raportate în secțiunea privind capacitatea de compensare. Cu toate acestea, fluxurile de numerar generate de astfel de elemente se raportează în partea relevantă din secțiunile 1 și 2 din formular.</w:t>
                  </w:r>
                </w:p>
              </w:tc>
            </w:tr>
          </w:tbl>
          <w:p w14:paraId="609D7922"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143CE82B" w14:textId="71286E8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FA37E4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E2F6C24" w14:textId="77777777" w:rsidR="008E3BA7" w:rsidRPr="00BF7956" w:rsidRDefault="008E3BA7" w:rsidP="008E3BA7">
            <w:pPr>
              <w:jc w:val="both"/>
              <w:rPr>
                <w:sz w:val="20"/>
                <w:szCs w:val="20"/>
                <w:lang w:val="ro-RO"/>
              </w:rPr>
            </w:pPr>
          </w:p>
        </w:tc>
        <w:tc>
          <w:tcPr>
            <w:tcW w:w="992" w:type="dxa"/>
          </w:tcPr>
          <w:p w14:paraId="3C54638A" w14:textId="77777777" w:rsidR="008E3BA7" w:rsidRPr="00BF7956" w:rsidRDefault="008E3BA7" w:rsidP="008E3BA7">
            <w:pPr>
              <w:jc w:val="both"/>
              <w:rPr>
                <w:sz w:val="20"/>
                <w:szCs w:val="20"/>
                <w:lang w:val="ro-RO"/>
              </w:rPr>
            </w:pPr>
          </w:p>
        </w:tc>
      </w:tr>
      <w:tr w:rsidR="008E3BA7" w:rsidRPr="00BF7956" w14:paraId="289B6B8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60318157" w14:textId="77777777" w:rsidTr="0070362F">
              <w:tc>
                <w:tcPr>
                  <w:tcW w:w="856" w:type="dxa"/>
                </w:tcPr>
                <w:p w14:paraId="3C9BC584" w14:textId="4393C803"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930</w:t>
                  </w:r>
                </w:p>
              </w:tc>
              <w:tc>
                <w:tcPr>
                  <w:tcW w:w="3534" w:type="dxa"/>
                </w:tcPr>
                <w:p w14:paraId="3719DE7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3.6.1</w:t>
                  </w:r>
                  <w:r w:rsidRPr="00BF7956">
                    <w:rPr>
                      <w:color w:val="000000"/>
                      <w:sz w:val="20"/>
                      <w:szCs w:val="20"/>
                    </w:rPr>
                    <w:t xml:space="preserve"> </w:t>
                  </w:r>
                  <w:r w:rsidRPr="00BF7956">
                    <w:rPr>
                      <w:b/>
                      <w:bCs/>
                      <w:color w:val="000000"/>
                      <w:sz w:val="20"/>
                      <w:szCs w:val="20"/>
                    </w:rPr>
                    <w:t xml:space="preserve">Active aferente administraţiei centrale (CQS1) </w:t>
                  </w:r>
                </w:p>
                <w:p w14:paraId="3EF53650" w14:textId="7C2A7460"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într-un activ care reprezintă o creanţă asupra unei administraţii centrale căreia i se atribuie nivelul 1 de calitate a creditului de către o ECAI desemnată sau o creanţă care este garantată de aceasta.</w:t>
                  </w:r>
                </w:p>
              </w:tc>
            </w:tr>
          </w:tbl>
          <w:p w14:paraId="70F8FB19"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7D1881D4" w14:textId="77777777" w:rsidTr="00F0795F">
              <w:tc>
                <w:tcPr>
                  <w:tcW w:w="856" w:type="dxa"/>
                </w:tcPr>
                <w:p w14:paraId="76511B28" w14:textId="03364C4F"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930</w:t>
                  </w:r>
                </w:p>
              </w:tc>
              <w:tc>
                <w:tcPr>
                  <w:tcW w:w="3534" w:type="dxa"/>
                </w:tcPr>
                <w:p w14:paraId="208BC67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3.6.1</w:t>
                  </w:r>
                  <w:r w:rsidRPr="00BF7956">
                    <w:rPr>
                      <w:color w:val="000000"/>
                      <w:sz w:val="20"/>
                      <w:szCs w:val="20"/>
                    </w:rPr>
                    <w:t xml:space="preserve"> </w:t>
                  </w:r>
                  <w:r w:rsidRPr="00BF7956">
                    <w:rPr>
                      <w:b/>
                      <w:bCs/>
                      <w:color w:val="000000"/>
                      <w:sz w:val="20"/>
                      <w:szCs w:val="20"/>
                    </w:rPr>
                    <w:t xml:space="preserve">Active aferente administraţiei centrale (CQS1) </w:t>
                  </w:r>
                </w:p>
                <w:p w14:paraId="2D49A3AA" w14:textId="27CEA2F4" w:rsidR="008E3BA7" w:rsidRPr="00BF7956" w:rsidRDefault="00097BD0"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raportat la punctul 3.6 care constă într-un activ care reprezintă o creanță </w:t>
                  </w:r>
                  <w:r w:rsidR="00B2799B">
                    <w:rPr>
                      <w:color w:val="000000"/>
                      <w:sz w:val="20"/>
                      <w:szCs w:val="20"/>
                    </w:rPr>
                    <w:t xml:space="preserve"> față de o</w:t>
                  </w:r>
                  <w:r w:rsidRPr="00BF7956">
                    <w:rPr>
                      <w:color w:val="000000"/>
                      <w:sz w:val="20"/>
                      <w:szCs w:val="20"/>
                    </w:rPr>
                    <w:t xml:space="preserve"> administrați</w:t>
                  </w:r>
                  <w:r w:rsidR="00B2799B">
                    <w:rPr>
                      <w:color w:val="000000"/>
                      <w:sz w:val="20"/>
                      <w:szCs w:val="20"/>
                    </w:rPr>
                    <w:t>e</w:t>
                  </w:r>
                  <w:r w:rsidRPr="00BF7956">
                    <w:rPr>
                      <w:color w:val="000000"/>
                      <w:sz w:val="20"/>
                      <w:szCs w:val="20"/>
                    </w:rPr>
                    <w:t xml:space="preserve"> central</w:t>
                  </w:r>
                  <w:r w:rsidR="00B2799B">
                    <w:rPr>
                      <w:color w:val="000000"/>
                      <w:sz w:val="20"/>
                      <w:szCs w:val="20"/>
                    </w:rPr>
                    <w:t>ă</w:t>
                  </w:r>
                  <w:r w:rsidRPr="00BF7956">
                    <w:rPr>
                      <w:color w:val="000000"/>
                      <w:sz w:val="20"/>
                      <w:szCs w:val="20"/>
                    </w:rPr>
                    <w:t xml:space="preserve"> căreia i se atribuie nivelul 1 de calitate a creditului de către o ECAI desemnată sau </w:t>
                  </w:r>
                  <w:r w:rsidR="00B2799B">
                    <w:rPr>
                      <w:color w:val="000000"/>
                      <w:sz w:val="20"/>
                      <w:szCs w:val="20"/>
                    </w:rPr>
                    <w:t>creanță</w:t>
                  </w:r>
                  <w:r w:rsidRPr="00BF7956">
                    <w:rPr>
                      <w:color w:val="000000"/>
                      <w:sz w:val="20"/>
                      <w:szCs w:val="20"/>
                    </w:rPr>
                    <w:t xml:space="preserve"> garantată de aceasta.</w:t>
                  </w:r>
                </w:p>
              </w:tc>
            </w:tr>
          </w:tbl>
          <w:p w14:paraId="1AC5D69C"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2C6E122" w14:textId="004DEE9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2B7B39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C7254D8" w14:textId="77777777" w:rsidR="008E3BA7" w:rsidRPr="00BF7956" w:rsidRDefault="008E3BA7" w:rsidP="008E3BA7">
            <w:pPr>
              <w:jc w:val="both"/>
              <w:rPr>
                <w:sz w:val="20"/>
                <w:szCs w:val="20"/>
                <w:lang w:val="ro-RO"/>
              </w:rPr>
            </w:pPr>
          </w:p>
        </w:tc>
        <w:tc>
          <w:tcPr>
            <w:tcW w:w="992" w:type="dxa"/>
          </w:tcPr>
          <w:p w14:paraId="392DAEE5" w14:textId="77777777" w:rsidR="008E3BA7" w:rsidRPr="00BF7956" w:rsidRDefault="008E3BA7" w:rsidP="008E3BA7">
            <w:pPr>
              <w:jc w:val="both"/>
              <w:rPr>
                <w:sz w:val="20"/>
                <w:szCs w:val="20"/>
                <w:lang w:val="ro-RO"/>
              </w:rPr>
            </w:pPr>
          </w:p>
        </w:tc>
      </w:tr>
      <w:tr w:rsidR="008E3BA7" w:rsidRPr="00BF7956" w14:paraId="59F228F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2C59FDC6" w14:textId="77777777" w:rsidTr="006A0776">
              <w:tc>
                <w:tcPr>
                  <w:tcW w:w="856" w:type="dxa"/>
                </w:tcPr>
                <w:p w14:paraId="663BBE1F" w14:textId="03BF7B73"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940</w:t>
                  </w:r>
                </w:p>
              </w:tc>
              <w:tc>
                <w:tcPr>
                  <w:tcW w:w="3534" w:type="dxa"/>
                </w:tcPr>
                <w:p w14:paraId="65CBFC0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3.6.2 Active</w:t>
                  </w:r>
                  <w:r w:rsidRPr="00BF7956">
                    <w:rPr>
                      <w:b/>
                      <w:bCs/>
                      <w:color w:val="000000"/>
                      <w:sz w:val="20"/>
                      <w:szCs w:val="20"/>
                    </w:rPr>
                    <w:t xml:space="preserve"> aferente administraţiei centrale (CQS2-3) </w:t>
                  </w:r>
                </w:p>
                <w:p w14:paraId="1CF98B19" w14:textId="553B06F9"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într-un activ care reprezintă o creanţă asupra unei administraţii centrale căreia i se atribuie nivelul 2 sau 3 de calitate a creditului de către o ECAI desemnată sau o creanţă care este garantată de aceasta.</w:t>
                  </w:r>
                </w:p>
              </w:tc>
            </w:tr>
          </w:tbl>
          <w:p w14:paraId="604B47A6"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540F97EA" w14:textId="77777777" w:rsidTr="00F0795F">
              <w:tc>
                <w:tcPr>
                  <w:tcW w:w="856" w:type="dxa"/>
                </w:tcPr>
                <w:p w14:paraId="2C90EB7C" w14:textId="46D1F491"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940</w:t>
                  </w:r>
                </w:p>
              </w:tc>
              <w:tc>
                <w:tcPr>
                  <w:tcW w:w="3534" w:type="dxa"/>
                </w:tcPr>
                <w:p w14:paraId="4EA6CA9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3.6.2 Active</w:t>
                  </w:r>
                  <w:r w:rsidRPr="00BF7956">
                    <w:rPr>
                      <w:b/>
                      <w:bCs/>
                      <w:color w:val="000000"/>
                      <w:sz w:val="20"/>
                      <w:szCs w:val="20"/>
                    </w:rPr>
                    <w:t xml:space="preserve"> aferente administraţiei centrale (CQS2-3) </w:t>
                  </w:r>
                </w:p>
                <w:p w14:paraId="6FB6D4D3" w14:textId="695214CB" w:rsidR="008E3BA7" w:rsidRPr="00BF7956" w:rsidRDefault="00097BD0"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într-un activ care reprezintă o creanță asupra unei administrații centrale căreia i se atribuie nivelul 2 sau 3 de calitate a creditului de către o ECAI desemnată sau care este garantată de aceasta.</w:t>
                  </w:r>
                </w:p>
              </w:tc>
            </w:tr>
          </w:tbl>
          <w:p w14:paraId="4308A49D"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D9FF7CC" w14:textId="48C5A83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CF2220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00F527C" w14:textId="77777777" w:rsidR="008E3BA7" w:rsidRPr="00BF7956" w:rsidRDefault="008E3BA7" w:rsidP="008E3BA7">
            <w:pPr>
              <w:jc w:val="both"/>
              <w:rPr>
                <w:sz w:val="20"/>
                <w:szCs w:val="20"/>
                <w:lang w:val="ro-RO"/>
              </w:rPr>
            </w:pPr>
          </w:p>
        </w:tc>
        <w:tc>
          <w:tcPr>
            <w:tcW w:w="992" w:type="dxa"/>
          </w:tcPr>
          <w:p w14:paraId="56DC3BE2" w14:textId="77777777" w:rsidR="008E3BA7" w:rsidRPr="00BF7956" w:rsidRDefault="008E3BA7" w:rsidP="008E3BA7">
            <w:pPr>
              <w:jc w:val="both"/>
              <w:rPr>
                <w:sz w:val="20"/>
                <w:szCs w:val="20"/>
                <w:lang w:val="ro-RO"/>
              </w:rPr>
            </w:pPr>
          </w:p>
        </w:tc>
      </w:tr>
      <w:tr w:rsidR="008E3BA7" w:rsidRPr="00BF7956" w14:paraId="1C913E64"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5F1ABC71" w14:textId="77777777" w:rsidTr="006A0776">
              <w:tc>
                <w:tcPr>
                  <w:tcW w:w="856" w:type="dxa"/>
                </w:tcPr>
                <w:p w14:paraId="1369578B" w14:textId="4F1C59F5"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950</w:t>
                  </w:r>
                </w:p>
              </w:tc>
              <w:tc>
                <w:tcPr>
                  <w:tcW w:w="3534" w:type="dxa"/>
                </w:tcPr>
                <w:p w14:paraId="5E8586D1" w14:textId="77777777" w:rsidR="008E3BA7" w:rsidRPr="00EB5DC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 xml:space="preserve">3.6.3 Acţiuni </w:t>
                  </w:r>
                </w:p>
                <w:p w14:paraId="4B503554" w14:textId="072C71F4"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 acţiuni.</w:t>
                  </w:r>
                </w:p>
              </w:tc>
            </w:tr>
          </w:tbl>
          <w:p w14:paraId="7629DA45"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4F05DACB" w14:textId="77777777" w:rsidTr="00F0795F">
              <w:tc>
                <w:tcPr>
                  <w:tcW w:w="856" w:type="dxa"/>
                </w:tcPr>
                <w:p w14:paraId="60840469" w14:textId="0A6D9C18"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950</w:t>
                  </w:r>
                </w:p>
              </w:tc>
              <w:tc>
                <w:tcPr>
                  <w:tcW w:w="3534" w:type="dxa"/>
                </w:tcPr>
                <w:p w14:paraId="43AA07E3" w14:textId="77777777" w:rsidR="008E3BA7" w:rsidRPr="00EB5DC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 xml:space="preserve">3.6.3 Acţiuni </w:t>
                  </w:r>
                </w:p>
                <w:p w14:paraId="6CFD5DD6" w14:textId="260DDB60" w:rsidR="008E3BA7" w:rsidRPr="00BF7956" w:rsidRDefault="00097BD0"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 acțiuni.</w:t>
                  </w:r>
                </w:p>
              </w:tc>
            </w:tr>
          </w:tbl>
          <w:p w14:paraId="3EA78EAA"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D18E481" w14:textId="61D2E54D"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F02ED0B"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E4CCA70" w14:textId="77777777" w:rsidR="008E3BA7" w:rsidRPr="00BF7956" w:rsidRDefault="008E3BA7" w:rsidP="008E3BA7">
            <w:pPr>
              <w:jc w:val="both"/>
              <w:rPr>
                <w:sz w:val="20"/>
                <w:szCs w:val="20"/>
                <w:lang w:val="ro-RO"/>
              </w:rPr>
            </w:pPr>
          </w:p>
        </w:tc>
        <w:tc>
          <w:tcPr>
            <w:tcW w:w="992" w:type="dxa"/>
          </w:tcPr>
          <w:p w14:paraId="52FF05E0" w14:textId="77777777" w:rsidR="008E3BA7" w:rsidRPr="00BF7956" w:rsidRDefault="008E3BA7" w:rsidP="008E3BA7">
            <w:pPr>
              <w:jc w:val="both"/>
              <w:rPr>
                <w:sz w:val="20"/>
                <w:szCs w:val="20"/>
                <w:lang w:val="ro-RO"/>
              </w:rPr>
            </w:pPr>
          </w:p>
        </w:tc>
      </w:tr>
      <w:tr w:rsidR="008E3BA7" w:rsidRPr="00BB5D62" w14:paraId="2FB2A213"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66612863" w14:textId="77777777" w:rsidTr="006A0776">
              <w:tc>
                <w:tcPr>
                  <w:tcW w:w="856" w:type="dxa"/>
                </w:tcPr>
                <w:p w14:paraId="1FBC2E98" w14:textId="0DB3EE50"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960</w:t>
                  </w:r>
                </w:p>
              </w:tc>
              <w:tc>
                <w:tcPr>
                  <w:tcW w:w="3534" w:type="dxa"/>
                </w:tcPr>
                <w:p w14:paraId="486CE3D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3.6.4</w:t>
                  </w:r>
                  <w:r w:rsidRPr="00BF7956">
                    <w:rPr>
                      <w:color w:val="000000"/>
                      <w:sz w:val="20"/>
                      <w:szCs w:val="20"/>
                    </w:rPr>
                    <w:t xml:space="preserve"> </w:t>
                  </w:r>
                  <w:r w:rsidRPr="00BF7956">
                    <w:rPr>
                      <w:b/>
                      <w:bCs/>
                      <w:color w:val="000000"/>
                      <w:sz w:val="20"/>
                      <w:szCs w:val="20"/>
                    </w:rPr>
                    <w:t xml:space="preserve">Obligaţiuni garantate </w:t>
                  </w:r>
                </w:p>
                <w:p w14:paraId="11543425" w14:textId="5DBB10DD"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 obligaţiuni garantate.</w:t>
                  </w:r>
                </w:p>
              </w:tc>
            </w:tr>
          </w:tbl>
          <w:p w14:paraId="1B127D79"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F7956" w14:paraId="427A0149" w14:textId="77777777" w:rsidTr="00F0795F">
              <w:tc>
                <w:tcPr>
                  <w:tcW w:w="856" w:type="dxa"/>
                </w:tcPr>
                <w:p w14:paraId="1A80AF79" w14:textId="7CA5AABE"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960</w:t>
                  </w:r>
                </w:p>
              </w:tc>
              <w:tc>
                <w:tcPr>
                  <w:tcW w:w="3534" w:type="dxa"/>
                </w:tcPr>
                <w:p w14:paraId="6D3918D1" w14:textId="22EA9AD1" w:rsidR="008E3BA7" w:rsidRPr="00BF7956" w:rsidRDefault="008E3BA7" w:rsidP="008E3BA7">
                  <w:pPr>
                    <w:pStyle w:val="CM4"/>
                    <w:framePr w:hSpace="180" w:wrap="around" w:vAnchor="text" w:hAnchor="margin" w:y="137"/>
                    <w:spacing w:before="60" w:after="60"/>
                    <w:rPr>
                      <w:b/>
                      <w:bCs/>
                      <w:color w:val="000000"/>
                      <w:sz w:val="20"/>
                      <w:szCs w:val="20"/>
                    </w:rPr>
                  </w:pPr>
                  <w:r w:rsidRPr="00EB5DC6">
                    <w:rPr>
                      <w:b/>
                      <w:bCs/>
                      <w:color w:val="000000"/>
                      <w:sz w:val="20"/>
                      <w:szCs w:val="20"/>
                    </w:rPr>
                    <w:t>3.6.4 Obligaţiuni</w:t>
                  </w:r>
                  <w:r w:rsidRPr="00BF7956">
                    <w:rPr>
                      <w:b/>
                      <w:bCs/>
                      <w:color w:val="000000"/>
                      <w:sz w:val="20"/>
                      <w:szCs w:val="20"/>
                    </w:rPr>
                    <w:t xml:space="preserve"> garantate </w:t>
                  </w:r>
                </w:p>
              </w:tc>
            </w:tr>
          </w:tbl>
          <w:p w14:paraId="2F64549D"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370ED3B7" w14:textId="2E673F9B" w:rsidR="008E3BA7" w:rsidRPr="00BF7956" w:rsidRDefault="008E3BA7" w:rsidP="008E3BA7">
            <w:pPr>
              <w:rPr>
                <w:b/>
                <w:strike/>
                <w:sz w:val="20"/>
                <w:szCs w:val="20"/>
                <w:lang w:val="ro-RO"/>
              </w:rPr>
            </w:pPr>
            <w:r w:rsidRPr="00BF7956">
              <w:rPr>
                <w:sz w:val="20"/>
                <w:szCs w:val="20"/>
              </w:rPr>
              <w:t>Necompatibil</w:t>
            </w:r>
          </w:p>
        </w:tc>
        <w:tc>
          <w:tcPr>
            <w:tcW w:w="2223" w:type="dxa"/>
          </w:tcPr>
          <w:p w14:paraId="4EDCF4A9" w14:textId="510987A3" w:rsidR="008E3BA7" w:rsidRPr="00BF7956" w:rsidRDefault="008E3BA7" w:rsidP="008E3BA7">
            <w:pPr>
              <w:rPr>
                <w:sz w:val="20"/>
                <w:szCs w:val="20"/>
                <w:lang w:val="ro-RO"/>
              </w:rPr>
            </w:pPr>
            <w:r w:rsidRPr="00BF7956">
              <w:rPr>
                <w:sz w:val="20"/>
                <w:szCs w:val="20"/>
                <w:lang w:val="en-US"/>
              </w:rPr>
              <w:t>Prevederile aferente obligațiunilor garantate nu au fost transpuse, deoarece obligațiunile garantate,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0DA2E7CA" w14:textId="77777777" w:rsidR="008E3BA7" w:rsidRPr="00BF7956" w:rsidRDefault="008E3BA7" w:rsidP="008E3BA7">
            <w:pPr>
              <w:jc w:val="both"/>
              <w:rPr>
                <w:sz w:val="20"/>
                <w:szCs w:val="20"/>
                <w:lang w:val="ro-RO"/>
              </w:rPr>
            </w:pPr>
          </w:p>
        </w:tc>
        <w:tc>
          <w:tcPr>
            <w:tcW w:w="992" w:type="dxa"/>
          </w:tcPr>
          <w:p w14:paraId="3DA2F58B" w14:textId="77777777" w:rsidR="008E3BA7" w:rsidRPr="00BF7956" w:rsidRDefault="008E3BA7" w:rsidP="008E3BA7">
            <w:pPr>
              <w:jc w:val="both"/>
              <w:rPr>
                <w:sz w:val="20"/>
                <w:szCs w:val="20"/>
                <w:lang w:val="ro-RO"/>
              </w:rPr>
            </w:pPr>
          </w:p>
        </w:tc>
      </w:tr>
      <w:tr w:rsidR="008E3BA7" w:rsidRPr="00BB5D62" w14:paraId="6DE9608A"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5CE60FD" w14:textId="77777777" w:rsidTr="006A0776">
              <w:tc>
                <w:tcPr>
                  <w:tcW w:w="856" w:type="dxa"/>
                </w:tcPr>
                <w:p w14:paraId="3857399A" w14:textId="6C82E21F"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970</w:t>
                  </w:r>
                </w:p>
              </w:tc>
              <w:tc>
                <w:tcPr>
                  <w:tcW w:w="3534" w:type="dxa"/>
                </w:tcPr>
                <w:p w14:paraId="549979B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B6CE0">
                    <w:rPr>
                      <w:b/>
                      <w:bCs/>
                      <w:color w:val="000000"/>
                      <w:sz w:val="20"/>
                      <w:szCs w:val="20"/>
                    </w:rPr>
                    <w:t>3.6.5</w:t>
                  </w:r>
                  <w:r w:rsidRPr="00BF7956">
                    <w:rPr>
                      <w:color w:val="000000"/>
                      <w:sz w:val="20"/>
                      <w:szCs w:val="20"/>
                    </w:rPr>
                    <w:t xml:space="preserve"> </w:t>
                  </w:r>
                  <w:r w:rsidRPr="00BF7956">
                    <w:rPr>
                      <w:b/>
                      <w:bCs/>
                      <w:color w:val="000000"/>
                      <w:sz w:val="20"/>
                      <w:szCs w:val="20"/>
                    </w:rPr>
                    <w:t xml:space="preserve">ABS </w:t>
                  </w:r>
                </w:p>
                <w:p w14:paraId="0549A868" w14:textId="4BA5E540"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3.6 care constă în ABS.</w:t>
                  </w:r>
                </w:p>
              </w:tc>
            </w:tr>
          </w:tbl>
          <w:p w14:paraId="5D4F9E05"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F7956" w14:paraId="7EABABD1" w14:textId="77777777" w:rsidTr="00F0795F">
              <w:tc>
                <w:tcPr>
                  <w:tcW w:w="856" w:type="dxa"/>
                </w:tcPr>
                <w:p w14:paraId="123A3E1B" w14:textId="0B23C966"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970</w:t>
                  </w:r>
                </w:p>
              </w:tc>
              <w:tc>
                <w:tcPr>
                  <w:tcW w:w="3534" w:type="dxa"/>
                </w:tcPr>
                <w:p w14:paraId="7F8792BF"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B6CE0">
                    <w:rPr>
                      <w:b/>
                      <w:bCs/>
                      <w:color w:val="000000"/>
                      <w:sz w:val="20"/>
                      <w:szCs w:val="20"/>
                    </w:rPr>
                    <w:t>3.6.5</w:t>
                  </w:r>
                  <w:r w:rsidRPr="00BF7956">
                    <w:rPr>
                      <w:color w:val="000000"/>
                      <w:sz w:val="20"/>
                      <w:szCs w:val="20"/>
                    </w:rPr>
                    <w:t xml:space="preserve"> </w:t>
                  </w:r>
                  <w:r w:rsidRPr="00BF7956">
                    <w:rPr>
                      <w:b/>
                      <w:bCs/>
                      <w:color w:val="000000"/>
                      <w:sz w:val="20"/>
                      <w:szCs w:val="20"/>
                    </w:rPr>
                    <w:t xml:space="preserve">ABS </w:t>
                  </w:r>
                </w:p>
                <w:p w14:paraId="5F6D498E" w14:textId="1D4214C7" w:rsidR="008E3BA7" w:rsidRPr="00BF7956" w:rsidRDefault="008E3BA7" w:rsidP="008E3BA7">
                  <w:pPr>
                    <w:pStyle w:val="CM4"/>
                    <w:framePr w:hSpace="180" w:wrap="around" w:vAnchor="text" w:hAnchor="margin" w:y="137"/>
                    <w:spacing w:before="60" w:after="60"/>
                    <w:rPr>
                      <w:color w:val="000000"/>
                      <w:sz w:val="20"/>
                      <w:szCs w:val="20"/>
                    </w:rPr>
                  </w:pPr>
                </w:p>
              </w:tc>
            </w:tr>
          </w:tbl>
          <w:p w14:paraId="526E020D"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61519D90" w14:textId="11A95BC7" w:rsidR="008E3BA7" w:rsidRPr="00BF7956" w:rsidRDefault="008E3BA7" w:rsidP="008E3BA7">
            <w:pPr>
              <w:rPr>
                <w:b/>
                <w:strike/>
                <w:sz w:val="20"/>
                <w:szCs w:val="20"/>
                <w:lang w:val="ro-RO"/>
              </w:rPr>
            </w:pPr>
            <w:r w:rsidRPr="00BF7956">
              <w:rPr>
                <w:bCs/>
                <w:sz w:val="20"/>
                <w:szCs w:val="20"/>
                <w:lang w:val="ro-RO"/>
              </w:rPr>
              <w:t>Necompatibil</w:t>
            </w:r>
          </w:p>
        </w:tc>
        <w:tc>
          <w:tcPr>
            <w:tcW w:w="2223" w:type="dxa"/>
          </w:tcPr>
          <w:p w14:paraId="13168C49" w14:textId="0A447AEB" w:rsidR="008E3BA7" w:rsidRPr="00BF7956" w:rsidRDefault="008E3BA7" w:rsidP="008E3BA7">
            <w:pPr>
              <w:rPr>
                <w:sz w:val="20"/>
                <w:szCs w:val="20"/>
                <w:lang w:val="ro-RO"/>
              </w:rPr>
            </w:pPr>
            <w:r w:rsidRPr="00BF7956">
              <w:rPr>
                <w:sz w:val="20"/>
                <w:szCs w:val="20"/>
                <w:lang w:val="ro-RO"/>
              </w:rPr>
              <w:t>Prevederile aferente titluri garantate cu active – ABS nu au fost transpuse deoarece titlurile garantate cu active – ABS, în prezent la nivelul Republicii Moldova nu sunt reglementate de cadrul primar aferent desfășurării acestor operațiuni, elaborarea căruia este de competența CNPF.</w:t>
            </w:r>
          </w:p>
        </w:tc>
        <w:tc>
          <w:tcPr>
            <w:tcW w:w="1134" w:type="dxa"/>
            <w:tcBorders>
              <w:top w:val="single" w:sz="4" w:space="0" w:color="auto"/>
              <w:bottom w:val="single" w:sz="4" w:space="0" w:color="auto"/>
            </w:tcBorders>
          </w:tcPr>
          <w:p w14:paraId="6310805E" w14:textId="77777777" w:rsidR="008E3BA7" w:rsidRPr="00BF7956" w:rsidRDefault="008E3BA7" w:rsidP="008E3BA7">
            <w:pPr>
              <w:jc w:val="both"/>
              <w:rPr>
                <w:sz w:val="20"/>
                <w:szCs w:val="20"/>
                <w:lang w:val="ro-RO"/>
              </w:rPr>
            </w:pPr>
          </w:p>
        </w:tc>
        <w:tc>
          <w:tcPr>
            <w:tcW w:w="992" w:type="dxa"/>
          </w:tcPr>
          <w:p w14:paraId="0B198AAA" w14:textId="77777777" w:rsidR="008E3BA7" w:rsidRPr="00BF7956" w:rsidRDefault="008E3BA7" w:rsidP="008E3BA7">
            <w:pPr>
              <w:jc w:val="both"/>
              <w:rPr>
                <w:sz w:val="20"/>
                <w:szCs w:val="20"/>
                <w:lang w:val="ro-RO"/>
              </w:rPr>
            </w:pPr>
          </w:p>
        </w:tc>
      </w:tr>
      <w:tr w:rsidR="008E3BA7" w:rsidRPr="00BF7956" w14:paraId="2B052C3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18B02C79" w14:textId="77777777" w:rsidTr="006A0776">
              <w:tc>
                <w:tcPr>
                  <w:tcW w:w="856" w:type="dxa"/>
                </w:tcPr>
                <w:p w14:paraId="096BC77E" w14:textId="2E132C87"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980</w:t>
                  </w:r>
                </w:p>
              </w:tc>
              <w:tc>
                <w:tcPr>
                  <w:tcW w:w="3534" w:type="dxa"/>
                </w:tcPr>
                <w:p w14:paraId="06D0F0BD" w14:textId="65955CBA" w:rsidR="008E3BA7" w:rsidRPr="00BF7956" w:rsidRDefault="008E3BA7" w:rsidP="008E3BA7">
                  <w:pPr>
                    <w:pStyle w:val="CM4"/>
                    <w:framePr w:hSpace="180" w:wrap="around" w:vAnchor="text" w:hAnchor="margin" w:y="137"/>
                    <w:spacing w:before="60" w:after="60"/>
                    <w:rPr>
                      <w:color w:val="000000"/>
                      <w:sz w:val="20"/>
                      <w:szCs w:val="20"/>
                    </w:rPr>
                  </w:pPr>
                  <w:r w:rsidRPr="001B6CE0">
                    <w:rPr>
                      <w:b/>
                      <w:bCs/>
                      <w:color w:val="000000"/>
                      <w:sz w:val="20"/>
                      <w:szCs w:val="20"/>
                    </w:rPr>
                    <w:t>3.6.6</w:t>
                  </w:r>
                  <w:r w:rsidRPr="00BF7956">
                    <w:rPr>
                      <w:color w:val="000000"/>
                      <w:sz w:val="20"/>
                      <w:szCs w:val="20"/>
                    </w:rPr>
                    <w:t xml:space="preserve"> </w:t>
                  </w:r>
                  <w:r w:rsidRPr="00BF7956">
                    <w:rPr>
                      <w:b/>
                      <w:bCs/>
                      <w:color w:val="000000"/>
                      <w:sz w:val="20"/>
                      <w:szCs w:val="20"/>
                    </w:rPr>
                    <w:t xml:space="preserve">Alte active tranzacţionabile </w:t>
                  </w:r>
                  <w:r w:rsidR="0065738E" w:rsidRPr="00BF7956">
                    <w:rPr>
                      <w:sz w:val="20"/>
                      <w:szCs w:val="20"/>
                    </w:rPr>
                    <w:t xml:space="preserve"> </w:t>
                  </w:r>
                  <w:r w:rsidR="0065738E" w:rsidRPr="00BF7956">
                    <w:rPr>
                      <w:color w:val="000000"/>
                      <w:sz w:val="20"/>
                      <w:szCs w:val="20"/>
                    </w:rPr>
                    <w:t>Cuantumul raportat la punctul 3.6 care constă în alte active tranzacţionabile neraportate la punctele 3.6.1-3.6.5 și 3.7a.</w:t>
                  </w:r>
                </w:p>
              </w:tc>
            </w:tr>
          </w:tbl>
          <w:p w14:paraId="5A9CA149"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086DDA67" w14:textId="77777777" w:rsidTr="00F0795F">
              <w:tc>
                <w:tcPr>
                  <w:tcW w:w="856" w:type="dxa"/>
                </w:tcPr>
                <w:p w14:paraId="34B40B78" w14:textId="76F1FCE2"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980</w:t>
                  </w:r>
                </w:p>
              </w:tc>
              <w:tc>
                <w:tcPr>
                  <w:tcW w:w="3534" w:type="dxa"/>
                </w:tcPr>
                <w:p w14:paraId="7A28C080" w14:textId="44C8F620" w:rsidR="008E3BA7" w:rsidRPr="00BF7956" w:rsidRDefault="008E3BA7" w:rsidP="008E3BA7">
                  <w:pPr>
                    <w:pStyle w:val="CM4"/>
                    <w:framePr w:hSpace="180" w:wrap="around" w:vAnchor="text" w:hAnchor="margin" w:y="137"/>
                    <w:spacing w:before="60" w:after="60"/>
                    <w:rPr>
                      <w:color w:val="000000"/>
                      <w:sz w:val="20"/>
                      <w:szCs w:val="20"/>
                    </w:rPr>
                  </w:pPr>
                  <w:r w:rsidRPr="001B6CE0">
                    <w:rPr>
                      <w:b/>
                      <w:bCs/>
                      <w:color w:val="000000"/>
                      <w:sz w:val="20"/>
                      <w:szCs w:val="20"/>
                    </w:rPr>
                    <w:t>3.6.6</w:t>
                  </w:r>
                  <w:r w:rsidRPr="00BF7956">
                    <w:rPr>
                      <w:color w:val="000000"/>
                      <w:sz w:val="20"/>
                      <w:szCs w:val="20"/>
                    </w:rPr>
                    <w:t xml:space="preserve"> </w:t>
                  </w:r>
                  <w:r w:rsidRPr="00BF7956">
                    <w:rPr>
                      <w:b/>
                      <w:bCs/>
                      <w:color w:val="000000"/>
                      <w:sz w:val="20"/>
                      <w:szCs w:val="20"/>
                    </w:rPr>
                    <w:t xml:space="preserve">Alte active tranzacţionabile </w:t>
                  </w:r>
                  <w:r w:rsidR="00097BD0" w:rsidRPr="00BF7956">
                    <w:rPr>
                      <w:sz w:val="20"/>
                      <w:szCs w:val="20"/>
                    </w:rPr>
                    <w:t xml:space="preserve"> </w:t>
                  </w:r>
                  <w:r w:rsidR="00097BD0" w:rsidRPr="00BF7956">
                    <w:rPr>
                      <w:color w:val="000000"/>
                      <w:sz w:val="20"/>
                      <w:szCs w:val="20"/>
                    </w:rPr>
                    <w:t>Cuantumul raportat la punctul 3.6 care constă în alte active tranzacționabile neraportate la punctele 3.6.1-3.6.5 și 3.7a.</w:t>
                  </w:r>
                </w:p>
              </w:tc>
            </w:tr>
          </w:tbl>
          <w:p w14:paraId="45E44A6E"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20840CA" w14:textId="372510F2"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1AA759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36F58B6" w14:textId="77777777" w:rsidR="008E3BA7" w:rsidRPr="00BF7956" w:rsidRDefault="008E3BA7" w:rsidP="008E3BA7">
            <w:pPr>
              <w:jc w:val="both"/>
              <w:rPr>
                <w:sz w:val="20"/>
                <w:szCs w:val="20"/>
                <w:lang w:val="ro-RO"/>
              </w:rPr>
            </w:pPr>
          </w:p>
        </w:tc>
        <w:tc>
          <w:tcPr>
            <w:tcW w:w="992" w:type="dxa"/>
          </w:tcPr>
          <w:p w14:paraId="51AB1303" w14:textId="77777777" w:rsidR="008E3BA7" w:rsidRPr="00BF7956" w:rsidRDefault="008E3BA7" w:rsidP="008E3BA7">
            <w:pPr>
              <w:jc w:val="both"/>
              <w:rPr>
                <w:sz w:val="20"/>
                <w:szCs w:val="20"/>
                <w:lang w:val="ro-RO"/>
              </w:rPr>
            </w:pPr>
          </w:p>
        </w:tc>
      </w:tr>
      <w:tr w:rsidR="008E3BA7" w:rsidRPr="00BF7956" w14:paraId="3D5562A6" w14:textId="77777777" w:rsidTr="00C25F84">
        <w:tc>
          <w:tcPr>
            <w:tcW w:w="4576" w:type="dxa"/>
          </w:tcPr>
          <w:tbl>
            <w:tblPr>
              <w:tblStyle w:val="TableGrid"/>
              <w:tblW w:w="4400" w:type="dxa"/>
              <w:tblLayout w:type="fixed"/>
              <w:tblLook w:val="04A0" w:firstRow="1" w:lastRow="0" w:firstColumn="1" w:lastColumn="0" w:noHBand="0" w:noVBand="1"/>
            </w:tblPr>
            <w:tblGrid>
              <w:gridCol w:w="854"/>
              <w:gridCol w:w="3546"/>
            </w:tblGrid>
            <w:tr w:rsidR="008E3BA7" w:rsidRPr="00BB5D62" w14:paraId="154E3821" w14:textId="77777777" w:rsidTr="006A0776">
              <w:tc>
                <w:tcPr>
                  <w:tcW w:w="854" w:type="dxa"/>
                </w:tcPr>
                <w:p w14:paraId="39A6DF12" w14:textId="30A01288" w:rsidR="008E3BA7" w:rsidRPr="00BF7956" w:rsidRDefault="0065738E"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990</w:t>
                  </w:r>
                </w:p>
              </w:tc>
              <w:tc>
                <w:tcPr>
                  <w:tcW w:w="3546" w:type="dxa"/>
                </w:tcPr>
                <w:p w14:paraId="28C08C7C"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1B6CE0">
                    <w:rPr>
                      <w:b/>
                      <w:bCs/>
                      <w:color w:val="000000"/>
                      <w:sz w:val="20"/>
                      <w:szCs w:val="20"/>
                    </w:rPr>
                    <w:t>3.7</w:t>
                  </w:r>
                  <w:r w:rsidRPr="00BF7956">
                    <w:rPr>
                      <w:color w:val="000000"/>
                      <w:sz w:val="20"/>
                      <w:szCs w:val="20"/>
                    </w:rPr>
                    <w:t xml:space="preserve"> </w:t>
                  </w:r>
                  <w:r w:rsidRPr="00BF7956">
                    <w:rPr>
                      <w:b/>
                      <w:bCs/>
                      <w:color w:val="000000"/>
                      <w:sz w:val="20"/>
                      <w:szCs w:val="20"/>
                    </w:rPr>
                    <w:t xml:space="preserve">Active netranzacţionabile eligibile pentru banca centrală </w:t>
                  </w:r>
                </w:p>
                <w:p w14:paraId="58CA4D0D" w14:textId="77777777" w:rsidR="0065738E"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 xml:space="preserve">Valoarea contabilă a activelor netranzacţionabile care sunt garanţii reale eligibile pentru operaţiunile standard cu lichidităţi ale băncii centrale la care instituţia are acces direct la nivelul său de consolidare. </w:t>
                  </w:r>
                </w:p>
                <w:p w14:paraId="51C88975" w14:textId="69AACEBE"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În cazul activelor denominate într-o monedă inclusă în anexa la Regulamentul de punere în aplicare (UE) 2015/233 al Comisiei ( 1 ) ca monedă cu o eligibilitate la banca centrală definită într-un mod foarte restrictiv, instituţiile lasă acest câmp necompletat. Titlurile de valoare și fluxurile de titluri de valoare care rezultă din alte active netranzacţionabile sub formă de active intragrup nu se raportează în secţiunea privind capacitatea de compensare. Cu toate acestea, fluxurile de numerar generate de astfel de elemente se raportează în partea relevantă din secţiunile 1 și 2 din formular.</w:t>
                  </w:r>
                </w:p>
              </w:tc>
            </w:tr>
          </w:tbl>
          <w:p w14:paraId="0403CA34"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400" w:type="dxa"/>
              <w:tblLayout w:type="fixed"/>
              <w:tblLook w:val="04A0" w:firstRow="1" w:lastRow="0" w:firstColumn="1" w:lastColumn="0" w:noHBand="0" w:noVBand="1"/>
            </w:tblPr>
            <w:tblGrid>
              <w:gridCol w:w="854"/>
              <w:gridCol w:w="3546"/>
            </w:tblGrid>
            <w:tr w:rsidR="008E3BA7" w:rsidRPr="00BB5D62" w14:paraId="16522777" w14:textId="77777777" w:rsidTr="00F0795F">
              <w:tc>
                <w:tcPr>
                  <w:tcW w:w="854" w:type="dxa"/>
                </w:tcPr>
                <w:p w14:paraId="7566D233" w14:textId="5BAAE2F3" w:rsidR="008E3BA7" w:rsidRPr="00BF7956" w:rsidRDefault="00097BD0"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w:t>
                  </w:r>
                  <w:r w:rsidR="008E3BA7" w:rsidRPr="00BF7956">
                    <w:rPr>
                      <w:color w:val="000000"/>
                      <w:sz w:val="20"/>
                      <w:szCs w:val="20"/>
                    </w:rPr>
                    <w:t>990</w:t>
                  </w:r>
                </w:p>
              </w:tc>
              <w:tc>
                <w:tcPr>
                  <w:tcW w:w="3546" w:type="dxa"/>
                </w:tcPr>
                <w:p w14:paraId="4A362E92" w14:textId="77777777" w:rsidR="00097BD0" w:rsidRPr="00BF7956" w:rsidRDefault="00097BD0" w:rsidP="00097BD0">
                  <w:pPr>
                    <w:pStyle w:val="CM4"/>
                    <w:framePr w:hSpace="180" w:wrap="around" w:vAnchor="text" w:hAnchor="margin" w:y="137"/>
                    <w:spacing w:before="60" w:after="60"/>
                    <w:rPr>
                      <w:b/>
                      <w:bCs/>
                      <w:color w:val="000000"/>
                      <w:sz w:val="20"/>
                      <w:szCs w:val="20"/>
                    </w:rPr>
                  </w:pPr>
                  <w:r w:rsidRPr="00BF7956">
                    <w:rPr>
                      <w:b/>
                      <w:bCs/>
                      <w:color w:val="000000"/>
                      <w:sz w:val="20"/>
                      <w:szCs w:val="20"/>
                    </w:rPr>
                    <w:t>3.7 Active netranzacționabile eligibile pentru banca centrală</w:t>
                  </w:r>
                </w:p>
                <w:p w14:paraId="46B12E83" w14:textId="1BA5857C" w:rsidR="008E3BA7" w:rsidRPr="00BF7956" w:rsidRDefault="00097BD0" w:rsidP="00097BD0">
                  <w:pPr>
                    <w:pStyle w:val="CM4"/>
                    <w:framePr w:hSpace="180" w:wrap="around" w:vAnchor="text" w:hAnchor="margin" w:y="137"/>
                    <w:spacing w:before="60" w:after="60"/>
                    <w:rPr>
                      <w:color w:val="000000"/>
                      <w:sz w:val="20"/>
                      <w:szCs w:val="20"/>
                    </w:rPr>
                  </w:pPr>
                  <w:r w:rsidRPr="00BF7956">
                    <w:rPr>
                      <w:color w:val="000000"/>
                      <w:sz w:val="20"/>
                      <w:szCs w:val="20"/>
                    </w:rPr>
                    <w:t>Valoarea contabilă a activelor netranzacționabile care sunt garanții reale eligibile pentru operațiunile standard cu lichidități ale băncii centrale, la care banca are acces direct la nivelul său de consolidare.</w:t>
                  </w:r>
                </w:p>
              </w:tc>
            </w:tr>
          </w:tbl>
          <w:p w14:paraId="2070DE45"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250BCB72" w14:textId="2950D30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508887B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0CC47C3" w14:textId="77777777" w:rsidR="008E3BA7" w:rsidRPr="00BF7956" w:rsidRDefault="008E3BA7" w:rsidP="008E3BA7">
            <w:pPr>
              <w:jc w:val="both"/>
              <w:rPr>
                <w:sz w:val="20"/>
                <w:szCs w:val="20"/>
                <w:lang w:val="ro-RO"/>
              </w:rPr>
            </w:pPr>
          </w:p>
        </w:tc>
        <w:tc>
          <w:tcPr>
            <w:tcW w:w="992" w:type="dxa"/>
          </w:tcPr>
          <w:p w14:paraId="57E9BF1B" w14:textId="77777777" w:rsidR="008E3BA7" w:rsidRPr="00BF7956" w:rsidRDefault="008E3BA7" w:rsidP="008E3BA7">
            <w:pPr>
              <w:jc w:val="both"/>
              <w:rPr>
                <w:sz w:val="20"/>
                <w:szCs w:val="20"/>
                <w:lang w:val="ro-RO"/>
              </w:rPr>
            </w:pPr>
          </w:p>
        </w:tc>
      </w:tr>
      <w:tr w:rsidR="0065738E" w:rsidRPr="00BF7956" w14:paraId="0F9BBA82"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65738E" w:rsidRPr="00BB5D62" w14:paraId="61779412" w14:textId="77777777" w:rsidTr="00472775">
              <w:tc>
                <w:tcPr>
                  <w:tcW w:w="856" w:type="dxa"/>
                </w:tcPr>
                <w:p w14:paraId="2E993202" w14:textId="3AF36E9D" w:rsidR="0065738E" w:rsidRPr="00BF7956" w:rsidRDefault="0065738E" w:rsidP="0065738E">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0991</w:t>
                  </w:r>
                </w:p>
              </w:tc>
              <w:tc>
                <w:tcPr>
                  <w:tcW w:w="3534" w:type="dxa"/>
                </w:tcPr>
                <w:p w14:paraId="42DE8964" w14:textId="77777777" w:rsidR="0065738E" w:rsidRPr="00BF7956" w:rsidRDefault="0065738E" w:rsidP="0065738E">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3.7a Emisiuni proprii eligibile pentru băncile centrale </w:t>
                  </w:r>
                </w:p>
                <w:p w14:paraId="4620555C" w14:textId="6DFDF64B" w:rsidR="0065738E" w:rsidRPr="00BF7956" w:rsidRDefault="0065738E" w:rsidP="0065738E">
                  <w:pPr>
                    <w:pStyle w:val="CM4"/>
                    <w:framePr w:hSpace="180" w:wrap="around" w:vAnchor="text" w:hAnchor="margin" w:y="137"/>
                    <w:spacing w:before="60" w:after="60"/>
                    <w:rPr>
                      <w:color w:val="000000"/>
                      <w:sz w:val="20"/>
                      <w:szCs w:val="20"/>
                    </w:rPr>
                  </w:pPr>
                  <w:r w:rsidRPr="00BF7956">
                    <w:rPr>
                      <w:color w:val="000000"/>
                      <w:sz w:val="20"/>
                      <w:szCs w:val="20"/>
                    </w:rPr>
                    <w:t>Instrumente de datorie garantate emise de instituţie care sunt eligibile pentru operaţiuni cu banca centrală și sunt reţinute în bilanţul instituţiei și la care instituţia are acces direct la nivelul său de consolidare.</w:t>
                  </w:r>
                </w:p>
              </w:tc>
            </w:tr>
          </w:tbl>
          <w:p w14:paraId="7734FC65" w14:textId="77777777" w:rsidR="0065738E" w:rsidRPr="00BF7956" w:rsidRDefault="0065738E" w:rsidP="008E3BA7">
            <w:pPr>
              <w:pStyle w:val="CM4"/>
              <w:spacing w:before="60" w:after="60"/>
              <w:jc w:val="center"/>
              <w:rPr>
                <w:color w:val="000000"/>
                <w:sz w:val="20"/>
                <w:szCs w:val="20"/>
                <w:lang w:val="en-US"/>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097BD0" w:rsidRPr="00BB5D62" w14:paraId="11587469" w14:textId="77777777" w:rsidTr="00472775">
              <w:tc>
                <w:tcPr>
                  <w:tcW w:w="856" w:type="dxa"/>
                </w:tcPr>
                <w:p w14:paraId="14329094" w14:textId="77777777" w:rsidR="00097BD0" w:rsidRPr="00BF7956" w:rsidRDefault="00097BD0" w:rsidP="00097BD0">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0991</w:t>
                  </w:r>
                </w:p>
              </w:tc>
              <w:tc>
                <w:tcPr>
                  <w:tcW w:w="3534" w:type="dxa"/>
                </w:tcPr>
                <w:p w14:paraId="72E148B1" w14:textId="77777777" w:rsidR="00097BD0" w:rsidRPr="00BF7956" w:rsidRDefault="00097BD0" w:rsidP="00097BD0">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3.7a Emisiuni proprii eligibile pentru băncile centrale </w:t>
                  </w:r>
                </w:p>
                <w:p w14:paraId="47AEA0B7" w14:textId="0B6D5580" w:rsidR="00097BD0" w:rsidRPr="00BF7956" w:rsidRDefault="00097BD0" w:rsidP="00097BD0">
                  <w:pPr>
                    <w:pStyle w:val="CM4"/>
                    <w:framePr w:hSpace="180" w:wrap="around" w:vAnchor="text" w:hAnchor="margin" w:y="137"/>
                    <w:spacing w:before="60" w:after="60"/>
                    <w:rPr>
                      <w:color w:val="000000"/>
                      <w:sz w:val="20"/>
                      <w:szCs w:val="20"/>
                    </w:rPr>
                  </w:pPr>
                  <w:r w:rsidRPr="00BF7956">
                    <w:rPr>
                      <w:color w:val="000000"/>
                      <w:sz w:val="20"/>
                      <w:szCs w:val="20"/>
                    </w:rPr>
                    <w:t>Instrumente de datorie garantate emise de bancă care sunt eligibile pentru operaţiuni cu Banca Națională a Modovei și sunt reţinute în bilanţul băncii și la care banca are acces direct la nivelul său de consolidare.</w:t>
                  </w:r>
                </w:p>
              </w:tc>
            </w:tr>
          </w:tbl>
          <w:p w14:paraId="46C396C4" w14:textId="77777777" w:rsidR="0065738E" w:rsidRPr="00BF7956" w:rsidRDefault="0065738E" w:rsidP="008E3BA7">
            <w:pPr>
              <w:pStyle w:val="CM4"/>
              <w:spacing w:before="60" w:after="60"/>
              <w:jc w:val="center"/>
              <w:rPr>
                <w:color w:val="000000"/>
                <w:sz w:val="20"/>
                <w:szCs w:val="20"/>
                <w:lang w:val="en-US"/>
              </w:rPr>
            </w:pPr>
          </w:p>
        </w:tc>
        <w:tc>
          <w:tcPr>
            <w:tcW w:w="1418" w:type="dxa"/>
          </w:tcPr>
          <w:p w14:paraId="587BC294" w14:textId="1A01886C" w:rsidR="0065738E" w:rsidRPr="00BF7956" w:rsidRDefault="00AD7D4E" w:rsidP="008E3BA7">
            <w:pPr>
              <w:rPr>
                <w:bCs/>
                <w:sz w:val="20"/>
                <w:szCs w:val="20"/>
                <w:lang w:val="ro-RO"/>
              </w:rPr>
            </w:pPr>
            <w:r>
              <w:rPr>
                <w:bCs/>
                <w:sz w:val="20"/>
                <w:szCs w:val="20"/>
                <w:lang w:val="ro-RO"/>
              </w:rPr>
              <w:t>Compatibil</w:t>
            </w:r>
          </w:p>
        </w:tc>
        <w:tc>
          <w:tcPr>
            <w:tcW w:w="2223" w:type="dxa"/>
          </w:tcPr>
          <w:p w14:paraId="1EE49EC1" w14:textId="77777777" w:rsidR="0065738E" w:rsidRPr="00BF7956" w:rsidRDefault="0065738E" w:rsidP="008E3BA7">
            <w:pPr>
              <w:jc w:val="both"/>
              <w:rPr>
                <w:sz w:val="20"/>
                <w:szCs w:val="20"/>
                <w:lang w:val="ro-RO"/>
              </w:rPr>
            </w:pPr>
          </w:p>
        </w:tc>
        <w:tc>
          <w:tcPr>
            <w:tcW w:w="1134" w:type="dxa"/>
            <w:tcBorders>
              <w:top w:val="single" w:sz="4" w:space="0" w:color="auto"/>
              <w:bottom w:val="single" w:sz="4" w:space="0" w:color="auto"/>
            </w:tcBorders>
          </w:tcPr>
          <w:p w14:paraId="43AB16AC" w14:textId="77777777" w:rsidR="0065738E" w:rsidRPr="00BF7956" w:rsidRDefault="0065738E" w:rsidP="008E3BA7">
            <w:pPr>
              <w:jc w:val="both"/>
              <w:rPr>
                <w:sz w:val="20"/>
                <w:szCs w:val="20"/>
                <w:lang w:val="ro-RO"/>
              </w:rPr>
            </w:pPr>
          </w:p>
        </w:tc>
        <w:tc>
          <w:tcPr>
            <w:tcW w:w="992" w:type="dxa"/>
          </w:tcPr>
          <w:p w14:paraId="1591A60B" w14:textId="77777777" w:rsidR="0065738E" w:rsidRPr="00BF7956" w:rsidRDefault="0065738E" w:rsidP="008E3BA7">
            <w:pPr>
              <w:jc w:val="both"/>
              <w:rPr>
                <w:sz w:val="20"/>
                <w:szCs w:val="20"/>
                <w:lang w:val="ro-RO"/>
              </w:rPr>
            </w:pPr>
          </w:p>
        </w:tc>
      </w:tr>
      <w:tr w:rsidR="008E3BA7" w:rsidRPr="00BF7956" w14:paraId="565BD7D2"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3FBEEDD0" w14:textId="77777777" w:rsidTr="00766124">
              <w:tc>
                <w:tcPr>
                  <w:tcW w:w="856" w:type="dxa"/>
                </w:tcPr>
                <w:p w14:paraId="74CC0FAB" w14:textId="4426E409"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1000</w:t>
                  </w:r>
                </w:p>
              </w:tc>
              <w:tc>
                <w:tcPr>
                  <w:tcW w:w="3534" w:type="dxa"/>
                </w:tcPr>
                <w:p w14:paraId="4DCDC3A5" w14:textId="77777777" w:rsidR="0065738E" w:rsidRPr="00BF7956" w:rsidRDefault="0065738E"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3.8 Facilităţi de credit angajate neutilizate primite </w:t>
                  </w:r>
                </w:p>
                <w:p w14:paraId="09B4FA7C" w14:textId="77777777" w:rsidR="0065738E"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 xml:space="preserve">Cuantumul total al facilităţilor de credit angajate neutilizate acordate instituţiei raportoare. Acestea includ facilităţile irevocabile din punct de vedere contractual. Instituţiile raportează un cuantum redus în cazul în care nevoia potenţială de garanţii reale pentru a utiliza aceste facilităţi depășește disponibilul de garanţie. </w:t>
                  </w:r>
                </w:p>
                <w:p w14:paraId="5382107A" w14:textId="69D7751E"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Pentru a evita dubla contabilizare, facilităţile în care instituţia raportoare a prepoziţionat deja active drept garanţie reală pentru o facilitate de credit neutilizată și a raportat deja activele la punctele 3.1-3.7 nu trebuie raportate la punctul 3.8. Același lucru este valabil pentru cazurile în care instituţia raportoare s-ar putea să trebuiască să poziţioneze în prealabil active drept garanţie pentru a utiliza facilităţile, astfel cum se raportează în acest câmp.</w:t>
                  </w:r>
                </w:p>
              </w:tc>
            </w:tr>
          </w:tbl>
          <w:p w14:paraId="2962D258"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2EA0D7CD" w14:textId="77777777" w:rsidTr="00F0795F">
              <w:tc>
                <w:tcPr>
                  <w:tcW w:w="856" w:type="dxa"/>
                </w:tcPr>
                <w:p w14:paraId="2868657A"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1000</w:t>
                  </w:r>
                </w:p>
              </w:tc>
              <w:tc>
                <w:tcPr>
                  <w:tcW w:w="3534" w:type="dxa"/>
                </w:tcPr>
                <w:p w14:paraId="21421722" w14:textId="77777777" w:rsidR="009B166C" w:rsidRPr="00BF7956" w:rsidRDefault="009B166C" w:rsidP="009B166C">
                  <w:pPr>
                    <w:pStyle w:val="CM4"/>
                    <w:framePr w:hSpace="180" w:wrap="around" w:vAnchor="text" w:hAnchor="margin" w:y="137"/>
                    <w:spacing w:before="60" w:after="60"/>
                    <w:rPr>
                      <w:b/>
                      <w:bCs/>
                      <w:color w:val="000000"/>
                      <w:sz w:val="20"/>
                      <w:szCs w:val="20"/>
                    </w:rPr>
                  </w:pPr>
                  <w:r w:rsidRPr="00BF7956">
                    <w:rPr>
                      <w:b/>
                      <w:bCs/>
                      <w:color w:val="000000"/>
                      <w:sz w:val="20"/>
                      <w:szCs w:val="20"/>
                    </w:rPr>
                    <w:t>3.8 Facilități de credit angajate neutilizate primite</w:t>
                  </w:r>
                </w:p>
                <w:p w14:paraId="7F7E36B5" w14:textId="77777777" w:rsidR="009B166C" w:rsidRPr="00BF7956" w:rsidRDefault="009B166C" w:rsidP="009B166C">
                  <w:pPr>
                    <w:pStyle w:val="CM4"/>
                    <w:framePr w:hSpace="180" w:wrap="around" w:vAnchor="text" w:hAnchor="margin" w:y="137"/>
                    <w:spacing w:before="60" w:after="60"/>
                    <w:rPr>
                      <w:color w:val="000000"/>
                      <w:sz w:val="20"/>
                      <w:szCs w:val="20"/>
                    </w:rPr>
                  </w:pPr>
                  <w:r w:rsidRPr="00BF7956">
                    <w:rPr>
                      <w:color w:val="000000"/>
                      <w:sz w:val="20"/>
                      <w:szCs w:val="20"/>
                    </w:rPr>
                    <w:t>Cuantumul total al facilităților angajate și neutilizate acordate băncii raportoare.</w:t>
                  </w:r>
                </w:p>
                <w:p w14:paraId="2805C946" w14:textId="77777777" w:rsidR="009B166C" w:rsidRPr="00BF7956" w:rsidRDefault="009B166C" w:rsidP="009B166C">
                  <w:pPr>
                    <w:pStyle w:val="CM4"/>
                    <w:framePr w:hSpace="180" w:wrap="around" w:vAnchor="text" w:hAnchor="margin" w:y="137"/>
                    <w:spacing w:before="60" w:after="60"/>
                    <w:rPr>
                      <w:color w:val="000000"/>
                      <w:sz w:val="20"/>
                      <w:szCs w:val="20"/>
                    </w:rPr>
                  </w:pPr>
                  <w:r w:rsidRPr="00BF7956">
                    <w:rPr>
                      <w:color w:val="000000"/>
                      <w:sz w:val="20"/>
                      <w:szCs w:val="20"/>
                    </w:rPr>
                    <w:t>Acestea includ facilitățile irevocabile din punct de vedere contractual. Băncile raportează un cuantum redus în cazul în care nevoia potențială de garanții reale pentru a utiliza aceste facilități depășește disponibilul de garanție.</w:t>
                  </w:r>
                </w:p>
                <w:p w14:paraId="36FD4DDD" w14:textId="5143A424" w:rsidR="008E3BA7" w:rsidRPr="00BF7956" w:rsidRDefault="009B166C" w:rsidP="009B166C">
                  <w:pPr>
                    <w:pStyle w:val="CM4"/>
                    <w:framePr w:hSpace="180" w:wrap="around" w:vAnchor="text" w:hAnchor="margin" w:y="137"/>
                    <w:spacing w:before="60" w:after="60"/>
                    <w:rPr>
                      <w:color w:val="000000"/>
                      <w:sz w:val="20"/>
                      <w:szCs w:val="20"/>
                    </w:rPr>
                  </w:pPr>
                  <w:r w:rsidRPr="00BF7956">
                    <w:rPr>
                      <w:color w:val="000000"/>
                      <w:sz w:val="20"/>
                      <w:szCs w:val="20"/>
                    </w:rPr>
                    <w:t xml:space="preserve">Pentru a evita dubla contabilizare, facilitățile în care banca raportoare a poziționat deja în prealabil active drept garanție reală pentru o facilitate de credit neutilizată și a raportat deja activele la punctele 3.1-3.7 nu trebuie raportate la punctul 3.8. Același lucru este valabil pentru cazurile în care banca raportoare </w:t>
                  </w:r>
                  <w:r w:rsidR="00B2799B">
                    <w:rPr>
                      <w:color w:val="000000"/>
                      <w:sz w:val="20"/>
                      <w:szCs w:val="20"/>
                    </w:rPr>
                    <w:t>ar</w:t>
                  </w:r>
                  <w:r w:rsidRPr="00BF7956">
                    <w:rPr>
                      <w:color w:val="000000"/>
                      <w:sz w:val="20"/>
                      <w:szCs w:val="20"/>
                    </w:rPr>
                    <w:t xml:space="preserve"> trebui să poziționeze în prealabil active drept garanție pentru a utiliza facilitățile, astfel cum se raportează în acest câmp.</w:t>
                  </w:r>
                </w:p>
              </w:tc>
            </w:tr>
          </w:tbl>
          <w:p w14:paraId="4F2C31F1" w14:textId="77777777" w:rsidR="008E3BA7" w:rsidRPr="00BF7956" w:rsidRDefault="008E3BA7" w:rsidP="008E3BA7">
            <w:pPr>
              <w:autoSpaceDE w:val="0"/>
              <w:autoSpaceDN w:val="0"/>
              <w:adjustRightInd w:val="0"/>
              <w:spacing w:before="60" w:after="60"/>
              <w:jc w:val="center"/>
              <w:rPr>
                <w:color w:val="000000"/>
                <w:sz w:val="20"/>
                <w:szCs w:val="20"/>
                <w:lang w:val="ro-MD"/>
              </w:rPr>
            </w:pPr>
          </w:p>
        </w:tc>
        <w:tc>
          <w:tcPr>
            <w:tcW w:w="1418" w:type="dxa"/>
          </w:tcPr>
          <w:p w14:paraId="6D84B853" w14:textId="321EAFF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7A036D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863FB11" w14:textId="77777777" w:rsidR="008E3BA7" w:rsidRPr="00BF7956" w:rsidRDefault="008E3BA7" w:rsidP="008E3BA7">
            <w:pPr>
              <w:jc w:val="both"/>
              <w:rPr>
                <w:sz w:val="20"/>
                <w:szCs w:val="20"/>
                <w:lang w:val="ro-RO"/>
              </w:rPr>
            </w:pPr>
          </w:p>
        </w:tc>
        <w:tc>
          <w:tcPr>
            <w:tcW w:w="992" w:type="dxa"/>
          </w:tcPr>
          <w:p w14:paraId="2EA3A0C8" w14:textId="77777777" w:rsidR="008E3BA7" w:rsidRPr="00BF7956" w:rsidRDefault="008E3BA7" w:rsidP="008E3BA7">
            <w:pPr>
              <w:jc w:val="both"/>
              <w:rPr>
                <w:sz w:val="20"/>
                <w:szCs w:val="20"/>
                <w:lang w:val="ro-RO"/>
              </w:rPr>
            </w:pPr>
          </w:p>
        </w:tc>
      </w:tr>
      <w:tr w:rsidR="008E3BA7" w:rsidRPr="00BF7956" w14:paraId="3CCC3FC5"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0698D2A5" w14:textId="77777777" w:rsidTr="00766124">
              <w:tc>
                <w:tcPr>
                  <w:tcW w:w="856" w:type="dxa"/>
                </w:tcPr>
                <w:p w14:paraId="1AB62812" w14:textId="1DBA8B4B"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1010</w:t>
                  </w:r>
                </w:p>
              </w:tc>
              <w:tc>
                <w:tcPr>
                  <w:tcW w:w="3534" w:type="dxa"/>
                </w:tcPr>
                <w:p w14:paraId="195B07C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AD7D4E">
                    <w:rPr>
                      <w:b/>
                      <w:bCs/>
                      <w:color w:val="000000"/>
                      <w:sz w:val="20"/>
                      <w:szCs w:val="20"/>
                    </w:rPr>
                    <w:t>3.8.1</w:t>
                  </w:r>
                  <w:r w:rsidRPr="00BF7956">
                    <w:rPr>
                      <w:color w:val="000000"/>
                      <w:sz w:val="20"/>
                      <w:szCs w:val="20"/>
                    </w:rPr>
                    <w:t xml:space="preserve"> </w:t>
                  </w:r>
                  <w:r w:rsidRPr="00BF7956">
                    <w:rPr>
                      <w:b/>
                      <w:bCs/>
                      <w:color w:val="000000"/>
                      <w:sz w:val="20"/>
                      <w:szCs w:val="20"/>
                    </w:rPr>
                    <w:t xml:space="preserve">Facilităţi de nivel 1 </w:t>
                  </w:r>
                </w:p>
                <w:p w14:paraId="592BF668" w14:textId="14756896"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3.8 care constă în facilităţi de la banca centrală în conformitate cu articolul 19 alineatul (1) litera (b) din Regulamentul delegat (UE) 2015/61.</w:t>
                  </w:r>
                </w:p>
              </w:tc>
            </w:tr>
          </w:tbl>
          <w:p w14:paraId="3AF5377F"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089F4540" w14:textId="77777777" w:rsidTr="00F0795F">
              <w:tc>
                <w:tcPr>
                  <w:tcW w:w="856" w:type="dxa"/>
                </w:tcPr>
                <w:p w14:paraId="3C34CFC8"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1010</w:t>
                  </w:r>
                </w:p>
              </w:tc>
              <w:tc>
                <w:tcPr>
                  <w:tcW w:w="3534" w:type="dxa"/>
                </w:tcPr>
                <w:p w14:paraId="456D8C8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AD7D4E">
                    <w:rPr>
                      <w:b/>
                      <w:bCs/>
                      <w:color w:val="000000"/>
                      <w:sz w:val="20"/>
                      <w:szCs w:val="20"/>
                    </w:rPr>
                    <w:t>3.8.1</w:t>
                  </w:r>
                  <w:r w:rsidRPr="00BF7956">
                    <w:rPr>
                      <w:color w:val="000000"/>
                      <w:sz w:val="20"/>
                      <w:szCs w:val="20"/>
                    </w:rPr>
                    <w:t xml:space="preserve"> </w:t>
                  </w:r>
                  <w:r w:rsidRPr="00BF7956">
                    <w:rPr>
                      <w:b/>
                      <w:bCs/>
                      <w:color w:val="000000"/>
                      <w:sz w:val="20"/>
                      <w:szCs w:val="20"/>
                    </w:rPr>
                    <w:t xml:space="preserve">Facilităţi de nivel 1 </w:t>
                  </w:r>
                </w:p>
                <w:p w14:paraId="511408B7" w14:textId="2AFCDD69" w:rsidR="008E3BA7" w:rsidRPr="00BF7956" w:rsidRDefault="00250767"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Cuantumul raportat la punctul 3.8 care constă în facilități de la banca centrală în conformitate cu punctul 43 subpunctul 2) din Regulamentul nr.44/2020 privind cerinţele de acoperire a necesarului de lichiditate pentru bănci.</w:t>
                  </w:r>
                </w:p>
              </w:tc>
            </w:tr>
          </w:tbl>
          <w:p w14:paraId="6C5ECCDD"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0BE6304D" w14:textId="3445D32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8D7B0BF"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5A460C3" w14:textId="77777777" w:rsidR="008E3BA7" w:rsidRPr="00BF7956" w:rsidRDefault="008E3BA7" w:rsidP="008E3BA7">
            <w:pPr>
              <w:jc w:val="both"/>
              <w:rPr>
                <w:sz w:val="20"/>
                <w:szCs w:val="20"/>
                <w:lang w:val="ro-RO"/>
              </w:rPr>
            </w:pPr>
          </w:p>
        </w:tc>
        <w:tc>
          <w:tcPr>
            <w:tcW w:w="992" w:type="dxa"/>
          </w:tcPr>
          <w:p w14:paraId="2E20D65B" w14:textId="77777777" w:rsidR="008E3BA7" w:rsidRPr="00BF7956" w:rsidRDefault="008E3BA7" w:rsidP="008E3BA7">
            <w:pPr>
              <w:jc w:val="both"/>
              <w:rPr>
                <w:sz w:val="20"/>
                <w:szCs w:val="20"/>
                <w:lang w:val="ro-RO"/>
              </w:rPr>
            </w:pPr>
          </w:p>
        </w:tc>
      </w:tr>
      <w:tr w:rsidR="008E3BA7" w:rsidRPr="00BB5D62" w14:paraId="0D12C3E7"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22D3754B" w14:textId="77777777" w:rsidTr="00766124">
              <w:tc>
                <w:tcPr>
                  <w:tcW w:w="856" w:type="dxa"/>
                </w:tcPr>
                <w:p w14:paraId="2FD5B5C5" w14:textId="4617316E"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1020</w:t>
                  </w:r>
                </w:p>
              </w:tc>
              <w:tc>
                <w:tcPr>
                  <w:tcW w:w="3534" w:type="dxa"/>
                </w:tcPr>
                <w:p w14:paraId="56D2082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8E4537">
                    <w:rPr>
                      <w:b/>
                      <w:bCs/>
                      <w:color w:val="000000"/>
                      <w:sz w:val="20"/>
                      <w:szCs w:val="20"/>
                    </w:rPr>
                    <w:t>3.8.2</w:t>
                  </w:r>
                  <w:r w:rsidRPr="00BF7956">
                    <w:rPr>
                      <w:color w:val="000000"/>
                      <w:sz w:val="20"/>
                      <w:szCs w:val="20"/>
                    </w:rPr>
                    <w:t xml:space="preserve"> </w:t>
                  </w:r>
                  <w:r w:rsidRPr="00BF7956">
                    <w:rPr>
                      <w:b/>
                      <w:bCs/>
                      <w:color w:val="000000"/>
                      <w:sz w:val="20"/>
                      <w:szCs w:val="20"/>
                    </w:rPr>
                    <w:t xml:space="preserve">Facilităţi cu utilizare restrânsă de nivel 2B </w:t>
                  </w:r>
                </w:p>
                <w:p w14:paraId="34AB1864" w14:textId="694199DE" w:rsidR="008E3BA7" w:rsidRPr="00BF7956" w:rsidRDefault="0065738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3.8 care constă în facilităţi în conformitate cu articolul 14 din Regulamentul delegat (UE) 2015/61.</w:t>
                  </w:r>
                </w:p>
              </w:tc>
            </w:tr>
          </w:tbl>
          <w:p w14:paraId="6CEBAE30"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6174E782" w14:textId="77777777" w:rsidTr="00F0795F">
              <w:tc>
                <w:tcPr>
                  <w:tcW w:w="856" w:type="dxa"/>
                </w:tcPr>
                <w:p w14:paraId="3BBC8058"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1020</w:t>
                  </w:r>
                </w:p>
              </w:tc>
              <w:tc>
                <w:tcPr>
                  <w:tcW w:w="3534" w:type="dxa"/>
                </w:tcPr>
                <w:p w14:paraId="49948310" w14:textId="00B0B4BE" w:rsidR="008E3BA7" w:rsidRPr="00BF7956" w:rsidRDefault="008E3BA7" w:rsidP="008E3BA7">
                  <w:pPr>
                    <w:pStyle w:val="CM4"/>
                    <w:framePr w:hSpace="180" w:wrap="around" w:vAnchor="text" w:hAnchor="margin" w:y="137"/>
                    <w:spacing w:before="60" w:after="60"/>
                    <w:rPr>
                      <w:b/>
                      <w:bCs/>
                      <w:color w:val="000000"/>
                      <w:sz w:val="20"/>
                      <w:szCs w:val="20"/>
                    </w:rPr>
                  </w:pPr>
                  <w:r w:rsidRPr="008E4537">
                    <w:rPr>
                      <w:b/>
                      <w:bCs/>
                      <w:color w:val="000000"/>
                      <w:sz w:val="20"/>
                      <w:szCs w:val="20"/>
                    </w:rPr>
                    <w:t>3.8.2</w:t>
                  </w:r>
                  <w:r w:rsidRPr="00BF7956">
                    <w:rPr>
                      <w:color w:val="000000"/>
                      <w:sz w:val="20"/>
                      <w:szCs w:val="20"/>
                    </w:rPr>
                    <w:t xml:space="preserve"> </w:t>
                  </w:r>
                  <w:r w:rsidRPr="00BF7956">
                    <w:rPr>
                      <w:b/>
                      <w:bCs/>
                      <w:color w:val="000000"/>
                      <w:sz w:val="20"/>
                      <w:szCs w:val="20"/>
                    </w:rPr>
                    <w:t xml:space="preserve">Facilităţi cu utilizare restrânsă de nivel 2B </w:t>
                  </w:r>
                </w:p>
              </w:tc>
            </w:tr>
          </w:tbl>
          <w:p w14:paraId="288660F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4642FBE9" w14:textId="6725FA81" w:rsidR="008E3BA7" w:rsidRPr="00BF7956" w:rsidRDefault="008E3BA7" w:rsidP="008E3BA7">
            <w:pPr>
              <w:rPr>
                <w:b/>
                <w:strike/>
                <w:sz w:val="20"/>
                <w:szCs w:val="20"/>
                <w:lang w:val="ro-RO"/>
              </w:rPr>
            </w:pPr>
            <w:r w:rsidRPr="00BF7956">
              <w:rPr>
                <w:sz w:val="20"/>
                <w:szCs w:val="20"/>
              </w:rPr>
              <w:t>Necompatibil</w:t>
            </w:r>
          </w:p>
        </w:tc>
        <w:tc>
          <w:tcPr>
            <w:tcW w:w="2223" w:type="dxa"/>
          </w:tcPr>
          <w:p w14:paraId="12C6F01D" w14:textId="349DAB42" w:rsidR="008E3BA7" w:rsidRPr="00BF7956" w:rsidRDefault="008E3BA7" w:rsidP="008E3BA7">
            <w:pPr>
              <w:rPr>
                <w:sz w:val="20"/>
                <w:szCs w:val="20"/>
                <w:lang w:val="ro-RO"/>
              </w:rPr>
            </w:pPr>
            <w:r w:rsidRPr="00BF7956">
              <w:rPr>
                <w:sz w:val="20"/>
                <w:szCs w:val="20"/>
                <w:lang w:val="it-IT"/>
              </w:rPr>
              <w:t>Prevederile aferente  facilităţilor de lichiditate angajate cu utilizare restrânsă nu au fost transpuse, deoarece cadrul normativ al Republicii Moldova nu le reglementează.</w:t>
            </w:r>
          </w:p>
        </w:tc>
        <w:tc>
          <w:tcPr>
            <w:tcW w:w="1134" w:type="dxa"/>
            <w:tcBorders>
              <w:top w:val="single" w:sz="4" w:space="0" w:color="auto"/>
              <w:bottom w:val="single" w:sz="4" w:space="0" w:color="auto"/>
            </w:tcBorders>
          </w:tcPr>
          <w:p w14:paraId="74F65389" w14:textId="77777777" w:rsidR="008E3BA7" w:rsidRPr="00BF7956" w:rsidRDefault="008E3BA7" w:rsidP="008E3BA7">
            <w:pPr>
              <w:jc w:val="both"/>
              <w:rPr>
                <w:sz w:val="20"/>
                <w:szCs w:val="20"/>
                <w:lang w:val="ro-RO"/>
              </w:rPr>
            </w:pPr>
          </w:p>
        </w:tc>
        <w:tc>
          <w:tcPr>
            <w:tcW w:w="992" w:type="dxa"/>
          </w:tcPr>
          <w:p w14:paraId="28EFA828" w14:textId="77777777" w:rsidR="008E3BA7" w:rsidRPr="00BF7956" w:rsidRDefault="008E3BA7" w:rsidP="008E3BA7">
            <w:pPr>
              <w:jc w:val="both"/>
              <w:rPr>
                <w:sz w:val="20"/>
                <w:szCs w:val="20"/>
                <w:lang w:val="ro-RO"/>
              </w:rPr>
            </w:pPr>
          </w:p>
        </w:tc>
      </w:tr>
      <w:tr w:rsidR="008E3BA7" w:rsidRPr="00BB5D62" w14:paraId="556CAE1D"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35D9971F" w14:textId="77777777" w:rsidTr="00766124">
              <w:tc>
                <w:tcPr>
                  <w:tcW w:w="856" w:type="dxa"/>
                </w:tcPr>
                <w:p w14:paraId="2547843B" w14:textId="3182BFFE"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1030</w:t>
                  </w:r>
                </w:p>
              </w:tc>
              <w:tc>
                <w:tcPr>
                  <w:tcW w:w="3534" w:type="dxa"/>
                </w:tcPr>
                <w:p w14:paraId="43A897EF" w14:textId="14512F84" w:rsidR="008E3BA7" w:rsidRPr="00BF7956" w:rsidRDefault="008E3BA7" w:rsidP="008E3BA7">
                  <w:pPr>
                    <w:pStyle w:val="CM4"/>
                    <w:framePr w:hSpace="180" w:wrap="around" w:vAnchor="text" w:hAnchor="margin" w:y="137"/>
                    <w:spacing w:before="60" w:after="60"/>
                    <w:rPr>
                      <w:color w:val="000000"/>
                      <w:sz w:val="20"/>
                      <w:szCs w:val="20"/>
                    </w:rPr>
                  </w:pPr>
                  <w:r w:rsidRPr="004D2ABD">
                    <w:rPr>
                      <w:b/>
                      <w:bCs/>
                      <w:color w:val="000000"/>
                      <w:sz w:val="20"/>
                      <w:szCs w:val="20"/>
                    </w:rPr>
                    <w:t>3.8.3</w:t>
                  </w:r>
                  <w:r w:rsidRPr="00BF7956">
                    <w:rPr>
                      <w:color w:val="000000"/>
                      <w:sz w:val="20"/>
                      <w:szCs w:val="20"/>
                    </w:rPr>
                    <w:t xml:space="preserve"> </w:t>
                  </w:r>
                  <w:r w:rsidRPr="00BF7956">
                    <w:rPr>
                      <w:b/>
                      <w:bCs/>
                      <w:color w:val="000000"/>
                      <w:sz w:val="20"/>
                      <w:szCs w:val="20"/>
                    </w:rPr>
                    <w:t xml:space="preserve">Facilităţi IPS de nivel 2B </w:t>
                  </w:r>
                  <w:r w:rsidR="00B73953" w:rsidRPr="00BF7956">
                    <w:rPr>
                      <w:color w:val="000000"/>
                      <w:sz w:val="20"/>
                      <w:szCs w:val="20"/>
                    </w:rPr>
                    <w:t>Cuantumul raportat la punctul 3.8 care constă în finanţare sub formă de lichidităţi în conformitate cu articolul 16 alineatul (2) din Regulamentul delegat (UE) 2015/ 61.</w:t>
                  </w:r>
                </w:p>
              </w:tc>
            </w:tr>
          </w:tbl>
          <w:p w14:paraId="4E38DE6A"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CF08CE8" w14:textId="77777777" w:rsidTr="00F0795F">
              <w:tc>
                <w:tcPr>
                  <w:tcW w:w="856" w:type="dxa"/>
                </w:tcPr>
                <w:p w14:paraId="774DAA12"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1030</w:t>
                  </w:r>
                </w:p>
              </w:tc>
              <w:tc>
                <w:tcPr>
                  <w:tcW w:w="3534" w:type="dxa"/>
                </w:tcPr>
                <w:p w14:paraId="798275DD" w14:textId="281D435D" w:rsidR="008E3BA7" w:rsidRPr="00BF7956" w:rsidRDefault="008E3BA7" w:rsidP="008E3BA7">
                  <w:pPr>
                    <w:pStyle w:val="CM4"/>
                    <w:framePr w:hSpace="180" w:wrap="around" w:vAnchor="text" w:hAnchor="margin" w:y="137"/>
                    <w:spacing w:before="60" w:after="60"/>
                    <w:rPr>
                      <w:color w:val="000000"/>
                      <w:sz w:val="20"/>
                      <w:szCs w:val="20"/>
                    </w:rPr>
                  </w:pPr>
                  <w:r w:rsidRPr="004D2ABD">
                    <w:rPr>
                      <w:b/>
                      <w:bCs/>
                      <w:color w:val="000000"/>
                      <w:sz w:val="20"/>
                      <w:szCs w:val="20"/>
                    </w:rPr>
                    <w:t>3.8.3</w:t>
                  </w:r>
                  <w:r w:rsidRPr="00BF7956">
                    <w:rPr>
                      <w:color w:val="000000"/>
                      <w:sz w:val="20"/>
                      <w:szCs w:val="20"/>
                    </w:rPr>
                    <w:t xml:space="preserve"> </w:t>
                  </w:r>
                  <w:r w:rsidRPr="00BF7956">
                    <w:rPr>
                      <w:b/>
                      <w:bCs/>
                      <w:color w:val="000000"/>
                      <w:sz w:val="20"/>
                      <w:szCs w:val="20"/>
                    </w:rPr>
                    <w:t xml:space="preserve">Facilităţi IPS de nivel 2B </w:t>
                  </w:r>
                </w:p>
              </w:tc>
            </w:tr>
          </w:tbl>
          <w:p w14:paraId="76B96FFB"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4309EA77" w14:textId="49F2E0D8" w:rsidR="008E3BA7" w:rsidRPr="00BF7956" w:rsidRDefault="008E3BA7" w:rsidP="008E3BA7">
            <w:pPr>
              <w:rPr>
                <w:b/>
                <w:strike/>
                <w:sz w:val="20"/>
                <w:szCs w:val="20"/>
                <w:lang w:val="ro-RO"/>
              </w:rPr>
            </w:pPr>
            <w:r w:rsidRPr="00BF7956">
              <w:rPr>
                <w:sz w:val="20"/>
                <w:szCs w:val="20"/>
              </w:rPr>
              <w:t>Necompatibil</w:t>
            </w:r>
          </w:p>
        </w:tc>
        <w:tc>
          <w:tcPr>
            <w:tcW w:w="2223" w:type="dxa"/>
          </w:tcPr>
          <w:p w14:paraId="6E74C1DA" w14:textId="399CDAB4" w:rsidR="008E3BA7" w:rsidRPr="00BF7956" w:rsidRDefault="008E3BA7" w:rsidP="008E3BA7">
            <w:pPr>
              <w:rPr>
                <w:sz w:val="20"/>
                <w:szCs w:val="20"/>
                <w:lang w:val="ro-RO"/>
              </w:rPr>
            </w:pPr>
            <w:r w:rsidRPr="00BF7956">
              <w:rPr>
                <w:sz w:val="20"/>
                <w:szCs w:val="20"/>
                <w:lang w:val="it-IT"/>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103DB43F" w14:textId="77777777" w:rsidR="008E3BA7" w:rsidRPr="00BF7956" w:rsidRDefault="008E3BA7" w:rsidP="008E3BA7">
            <w:pPr>
              <w:jc w:val="both"/>
              <w:rPr>
                <w:sz w:val="20"/>
                <w:szCs w:val="20"/>
                <w:lang w:val="ro-RO"/>
              </w:rPr>
            </w:pPr>
          </w:p>
        </w:tc>
        <w:tc>
          <w:tcPr>
            <w:tcW w:w="992" w:type="dxa"/>
          </w:tcPr>
          <w:p w14:paraId="2A3885AB" w14:textId="77777777" w:rsidR="008E3BA7" w:rsidRPr="00BF7956" w:rsidRDefault="008E3BA7" w:rsidP="008E3BA7">
            <w:pPr>
              <w:jc w:val="both"/>
              <w:rPr>
                <w:sz w:val="20"/>
                <w:szCs w:val="20"/>
                <w:lang w:val="ro-RO"/>
              </w:rPr>
            </w:pPr>
          </w:p>
        </w:tc>
      </w:tr>
      <w:tr w:rsidR="008E3BA7" w:rsidRPr="00BF7956" w14:paraId="2F49004E"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76CA750" w14:textId="77777777" w:rsidTr="00766124">
              <w:tc>
                <w:tcPr>
                  <w:tcW w:w="856" w:type="dxa"/>
                </w:tcPr>
                <w:p w14:paraId="77875E4B" w14:textId="5046D70B"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1040</w:t>
                  </w:r>
                </w:p>
              </w:tc>
              <w:tc>
                <w:tcPr>
                  <w:tcW w:w="3534" w:type="dxa"/>
                </w:tcPr>
                <w:p w14:paraId="5DD27997"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3.8.4</w:t>
                  </w:r>
                  <w:r w:rsidRPr="00BF7956">
                    <w:rPr>
                      <w:color w:val="000000"/>
                      <w:sz w:val="20"/>
                      <w:szCs w:val="20"/>
                    </w:rPr>
                    <w:t xml:space="preserve"> </w:t>
                  </w:r>
                  <w:r w:rsidRPr="00BF7956">
                    <w:rPr>
                      <w:b/>
                      <w:bCs/>
                      <w:color w:val="000000"/>
                      <w:sz w:val="20"/>
                      <w:szCs w:val="20"/>
                    </w:rPr>
                    <w:t xml:space="preserve">Alte facilităţi </w:t>
                  </w:r>
                </w:p>
                <w:p w14:paraId="1F3961E1" w14:textId="35618695" w:rsidR="008E3BA7" w:rsidRPr="00BF7956" w:rsidRDefault="00B73953"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3.8, altul decât cuantumul raportat la punctele 3.8.1- 3.8.3.</w:t>
                  </w:r>
                </w:p>
              </w:tc>
            </w:tr>
          </w:tbl>
          <w:p w14:paraId="39C3ABD1"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033033AE" w14:textId="77777777" w:rsidTr="00F0795F">
              <w:tc>
                <w:tcPr>
                  <w:tcW w:w="856" w:type="dxa"/>
                </w:tcPr>
                <w:p w14:paraId="664BBC1E"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1040</w:t>
                  </w:r>
                </w:p>
              </w:tc>
              <w:tc>
                <w:tcPr>
                  <w:tcW w:w="3534" w:type="dxa"/>
                </w:tcPr>
                <w:p w14:paraId="0F21985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3.8.4</w:t>
                  </w:r>
                  <w:r w:rsidRPr="00BF7956">
                    <w:rPr>
                      <w:color w:val="000000"/>
                      <w:sz w:val="20"/>
                      <w:szCs w:val="20"/>
                    </w:rPr>
                    <w:t xml:space="preserve"> </w:t>
                  </w:r>
                  <w:r w:rsidRPr="00BF7956">
                    <w:rPr>
                      <w:b/>
                      <w:bCs/>
                      <w:color w:val="000000"/>
                      <w:sz w:val="20"/>
                      <w:szCs w:val="20"/>
                    </w:rPr>
                    <w:t xml:space="preserve">Alte facilităţi </w:t>
                  </w:r>
                </w:p>
                <w:p w14:paraId="027CA770" w14:textId="772A6996" w:rsidR="008E3BA7" w:rsidRPr="00BF7956" w:rsidRDefault="003703C2"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3.8, altul decât cuantumul raportat la punctele 3.8.1- 3.8.3.</w:t>
                  </w:r>
                </w:p>
              </w:tc>
            </w:tr>
          </w:tbl>
          <w:p w14:paraId="22A35136"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6E6F47C0" w14:textId="02F2D9A4"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E20875D"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0F5C2F2" w14:textId="77777777" w:rsidR="008E3BA7" w:rsidRPr="00BF7956" w:rsidRDefault="008E3BA7" w:rsidP="008E3BA7">
            <w:pPr>
              <w:jc w:val="both"/>
              <w:rPr>
                <w:sz w:val="20"/>
                <w:szCs w:val="20"/>
                <w:lang w:val="ro-RO"/>
              </w:rPr>
            </w:pPr>
          </w:p>
        </w:tc>
        <w:tc>
          <w:tcPr>
            <w:tcW w:w="992" w:type="dxa"/>
          </w:tcPr>
          <w:p w14:paraId="6F446E51" w14:textId="77777777" w:rsidR="008E3BA7" w:rsidRPr="00BF7956" w:rsidRDefault="008E3BA7" w:rsidP="008E3BA7">
            <w:pPr>
              <w:jc w:val="both"/>
              <w:rPr>
                <w:sz w:val="20"/>
                <w:szCs w:val="20"/>
                <w:lang w:val="ro-RO"/>
              </w:rPr>
            </w:pPr>
          </w:p>
        </w:tc>
      </w:tr>
      <w:tr w:rsidR="008E3BA7" w:rsidRPr="00BB5D62" w14:paraId="4AF65ACE"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207E79FC" w14:textId="77777777" w:rsidTr="00A83CBC">
              <w:tc>
                <w:tcPr>
                  <w:tcW w:w="856" w:type="dxa"/>
                </w:tcPr>
                <w:p w14:paraId="1E5B9935" w14:textId="003016A4"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1050</w:t>
                  </w:r>
                </w:p>
              </w:tc>
              <w:tc>
                <w:tcPr>
                  <w:tcW w:w="3534" w:type="dxa"/>
                </w:tcPr>
                <w:p w14:paraId="4DAF1065"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3.8.4.1</w:t>
                  </w:r>
                  <w:r w:rsidRPr="00BF7956">
                    <w:rPr>
                      <w:color w:val="000000"/>
                      <w:sz w:val="20"/>
                      <w:szCs w:val="20"/>
                    </w:rPr>
                    <w:t xml:space="preserve"> </w:t>
                  </w:r>
                  <w:r w:rsidRPr="00BF7956">
                    <w:rPr>
                      <w:b/>
                      <w:bCs/>
                      <w:color w:val="000000"/>
                      <w:sz w:val="20"/>
                      <w:szCs w:val="20"/>
                    </w:rPr>
                    <w:t xml:space="preserve">De la contrapărţi din același grup </w:t>
                  </w:r>
                </w:p>
                <w:p w14:paraId="3B114485" w14:textId="31FA7F19" w:rsidR="008E3BA7" w:rsidRPr="00BF7956" w:rsidRDefault="008507D9"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3.8.4 în cazul în care contrapartea este o instituţie- mamă sau o filială a instituţiei sau o altă filială a aceleiași instituţii-mamă ori este legată de instituţia de credit printr-o relaţie în sensul articolului 22 alineatul (7) din 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03C2B701"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3AF240A7" w14:textId="77777777" w:rsidTr="00A04EFE">
              <w:tc>
                <w:tcPr>
                  <w:tcW w:w="856" w:type="dxa"/>
                </w:tcPr>
                <w:p w14:paraId="3A9E581A"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1050</w:t>
                  </w:r>
                </w:p>
              </w:tc>
              <w:tc>
                <w:tcPr>
                  <w:tcW w:w="3534" w:type="dxa"/>
                </w:tcPr>
                <w:p w14:paraId="67A6A526"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3.8.4.1</w:t>
                  </w:r>
                  <w:r w:rsidRPr="00BF7956">
                    <w:rPr>
                      <w:color w:val="000000"/>
                      <w:sz w:val="20"/>
                      <w:szCs w:val="20"/>
                    </w:rPr>
                    <w:t xml:space="preserve"> </w:t>
                  </w:r>
                  <w:r w:rsidRPr="00BF7956">
                    <w:rPr>
                      <w:b/>
                      <w:bCs/>
                      <w:color w:val="000000"/>
                      <w:sz w:val="20"/>
                      <w:szCs w:val="20"/>
                    </w:rPr>
                    <w:t xml:space="preserve">De la contrapărţi din același grup </w:t>
                  </w:r>
                </w:p>
                <w:p w14:paraId="7F1A9C7C" w14:textId="5B51CE93" w:rsidR="008E3BA7" w:rsidRPr="00BF7956" w:rsidRDefault="003703C2"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Cuantumul raportat la punctul 3.8.4 în cazul în care contrapartea este o întreprind</w:t>
                  </w:r>
                  <w:r w:rsidR="00B2799B">
                    <w:rPr>
                      <w:rFonts w:eastAsia="Times New Roman"/>
                      <w:color w:val="333333"/>
                      <w:sz w:val="20"/>
                      <w:szCs w:val="20"/>
                      <w:lang w:eastAsia="ro-MD"/>
                    </w:rPr>
                    <w:t>e</w:t>
                  </w:r>
                  <w:r w:rsidRPr="00BF7956">
                    <w:rPr>
                      <w:rFonts w:eastAsia="Times New Roman"/>
                      <w:color w:val="333333"/>
                      <w:sz w:val="20"/>
                      <w:szCs w:val="20"/>
                      <w:lang w:eastAsia="ro-MD"/>
                    </w:rPr>
                    <w:t>re</w:t>
                  </w:r>
                  <w:r w:rsidR="00B2799B">
                    <w:rPr>
                      <w:rFonts w:eastAsia="Times New Roman"/>
                      <w:color w:val="333333"/>
                      <w:sz w:val="20"/>
                      <w:szCs w:val="20"/>
                      <w:lang w:eastAsia="ro-MD"/>
                    </w:rPr>
                    <w:t>-</w:t>
                  </w:r>
                  <w:r w:rsidRPr="00BF7956">
                    <w:rPr>
                      <w:rFonts w:eastAsia="Times New Roman"/>
                      <w:color w:val="333333"/>
                      <w:sz w:val="20"/>
                      <w:szCs w:val="20"/>
                      <w:lang w:eastAsia="ro-MD"/>
                    </w:rPr>
                    <w:t>mamă sau o filială a întreprinderii sau o altă filială a aceleiași întreprinderi-mamă ori este legată de bancă printr-o relație.</w:t>
                  </w:r>
                </w:p>
              </w:tc>
            </w:tr>
          </w:tbl>
          <w:p w14:paraId="5FF36373" w14:textId="77777777" w:rsidR="008E3BA7" w:rsidRPr="00BF7956" w:rsidRDefault="008E3BA7" w:rsidP="008E3BA7">
            <w:pPr>
              <w:autoSpaceDE w:val="0"/>
              <w:autoSpaceDN w:val="0"/>
              <w:adjustRightInd w:val="0"/>
              <w:spacing w:before="60" w:after="60"/>
              <w:jc w:val="center"/>
              <w:rPr>
                <w:color w:val="000000"/>
                <w:sz w:val="20"/>
                <w:szCs w:val="20"/>
                <w:lang w:val="ro-MD"/>
              </w:rPr>
            </w:pPr>
          </w:p>
        </w:tc>
        <w:tc>
          <w:tcPr>
            <w:tcW w:w="1418" w:type="dxa"/>
          </w:tcPr>
          <w:p w14:paraId="173B1490" w14:textId="35FEA42B" w:rsidR="008E3BA7" w:rsidRPr="00BF7956" w:rsidRDefault="008E3BA7" w:rsidP="008E3BA7">
            <w:pPr>
              <w:rPr>
                <w:b/>
                <w:strike/>
                <w:sz w:val="20"/>
                <w:szCs w:val="20"/>
                <w:lang w:val="ro-MD"/>
              </w:rPr>
            </w:pPr>
            <w:r w:rsidRPr="00BF7956">
              <w:rPr>
                <w:sz w:val="20"/>
                <w:szCs w:val="20"/>
                <w:lang w:val="en-US"/>
              </w:rPr>
              <w:t>Par</w:t>
            </w:r>
            <w:r w:rsidRPr="00BF7956">
              <w:rPr>
                <w:sz w:val="20"/>
                <w:szCs w:val="20"/>
                <w:lang w:val="ro-MD"/>
              </w:rPr>
              <w:t>țial compatibil</w:t>
            </w:r>
          </w:p>
        </w:tc>
        <w:tc>
          <w:tcPr>
            <w:tcW w:w="2223" w:type="dxa"/>
          </w:tcPr>
          <w:p w14:paraId="7F598D7A" w14:textId="2861A571" w:rsidR="008E3BA7" w:rsidRPr="00BF7956" w:rsidRDefault="008E3BA7" w:rsidP="008E3BA7">
            <w:pPr>
              <w:rPr>
                <w:color w:val="000000"/>
                <w:sz w:val="20"/>
                <w:szCs w:val="20"/>
                <w:lang w:val="ro-MD"/>
              </w:rPr>
            </w:pPr>
            <w:r w:rsidRPr="00BF7956">
              <w:rPr>
                <w:color w:val="000000"/>
                <w:sz w:val="20"/>
                <w:szCs w:val="20"/>
                <w:lang w:val="ro-MD"/>
              </w:rPr>
              <w:t xml:space="preserve">Prevederile aferente sistemelor instituționale de protecție,  reţelelor / grupului cooperatist nu sunt transpuse, deoarece </w:t>
            </w:r>
            <w:r w:rsidRPr="00BF7956">
              <w:rPr>
                <w:sz w:val="20"/>
                <w:szCs w:val="20"/>
                <w:lang w:val="ro-MD"/>
              </w:rPr>
              <w:t>aceste sisteme /rețele /grupuri nu sunt reglementate în Republicii Moldova.</w:t>
            </w:r>
          </w:p>
          <w:p w14:paraId="04743C5A" w14:textId="77777777" w:rsidR="008E3BA7" w:rsidRPr="00BF7956" w:rsidRDefault="008E3BA7" w:rsidP="008E3BA7">
            <w:pPr>
              <w:jc w:val="both"/>
              <w:rPr>
                <w:color w:val="000000"/>
                <w:sz w:val="20"/>
                <w:szCs w:val="20"/>
                <w:lang w:val="ro-MD"/>
              </w:rPr>
            </w:pPr>
          </w:p>
          <w:p w14:paraId="50908D5C" w14:textId="7454FC50"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48BF356" w14:textId="77777777" w:rsidR="008E3BA7" w:rsidRPr="00BF7956" w:rsidRDefault="008E3BA7" w:rsidP="008E3BA7">
            <w:pPr>
              <w:jc w:val="both"/>
              <w:rPr>
                <w:sz w:val="20"/>
                <w:szCs w:val="20"/>
                <w:lang w:val="ro-RO"/>
              </w:rPr>
            </w:pPr>
          </w:p>
        </w:tc>
        <w:tc>
          <w:tcPr>
            <w:tcW w:w="992" w:type="dxa"/>
          </w:tcPr>
          <w:p w14:paraId="1803202F" w14:textId="77777777" w:rsidR="008E3BA7" w:rsidRPr="00BF7956" w:rsidRDefault="008E3BA7" w:rsidP="008E3BA7">
            <w:pPr>
              <w:jc w:val="both"/>
              <w:rPr>
                <w:sz w:val="20"/>
                <w:szCs w:val="20"/>
                <w:lang w:val="ro-RO"/>
              </w:rPr>
            </w:pPr>
          </w:p>
        </w:tc>
      </w:tr>
      <w:tr w:rsidR="008E3BA7" w:rsidRPr="00BF7956" w14:paraId="1664A702"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1EF7D281" w14:textId="77777777" w:rsidTr="00570E9A">
              <w:tc>
                <w:tcPr>
                  <w:tcW w:w="856" w:type="dxa"/>
                </w:tcPr>
                <w:p w14:paraId="2F1A7FF4" w14:textId="3EB6B36B"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1060</w:t>
                  </w:r>
                </w:p>
              </w:tc>
              <w:tc>
                <w:tcPr>
                  <w:tcW w:w="3534" w:type="dxa"/>
                </w:tcPr>
                <w:p w14:paraId="26AB9174" w14:textId="33316CCA" w:rsidR="008E3BA7" w:rsidRPr="00BF7956" w:rsidRDefault="008E3BA7" w:rsidP="008E3BA7">
                  <w:pPr>
                    <w:pStyle w:val="CM4"/>
                    <w:framePr w:hSpace="180" w:wrap="around" w:vAnchor="text" w:hAnchor="margin" w:y="137"/>
                    <w:spacing w:before="60" w:after="60"/>
                    <w:rPr>
                      <w:color w:val="000000"/>
                      <w:sz w:val="20"/>
                      <w:szCs w:val="20"/>
                    </w:rPr>
                  </w:pPr>
                  <w:r w:rsidRPr="004D2ABD">
                    <w:rPr>
                      <w:b/>
                      <w:bCs/>
                      <w:color w:val="000000"/>
                      <w:sz w:val="20"/>
                      <w:szCs w:val="20"/>
                    </w:rPr>
                    <w:t>3.8.4.2</w:t>
                  </w:r>
                  <w:r w:rsidRPr="00BF7956">
                    <w:rPr>
                      <w:color w:val="000000"/>
                      <w:sz w:val="20"/>
                      <w:szCs w:val="20"/>
                    </w:rPr>
                    <w:t xml:space="preserve"> </w:t>
                  </w:r>
                  <w:r w:rsidRPr="00BF7956">
                    <w:rPr>
                      <w:b/>
                      <w:bCs/>
                      <w:color w:val="000000"/>
                      <w:sz w:val="20"/>
                      <w:szCs w:val="20"/>
                    </w:rPr>
                    <w:t xml:space="preserve">De la alte contrapărţi </w:t>
                  </w:r>
                  <w:r w:rsidR="008507D9" w:rsidRPr="00BF7956">
                    <w:rPr>
                      <w:color w:val="000000"/>
                      <w:sz w:val="20"/>
                      <w:szCs w:val="20"/>
                    </w:rPr>
                    <w:t>Cuantumul raportat la punctul 3.8.4, altul decât cuantumul raportat la punctul 3.8.4.1.</w:t>
                  </w:r>
                </w:p>
              </w:tc>
            </w:tr>
          </w:tbl>
          <w:p w14:paraId="0B76EAA3"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26354DAA" w14:textId="77777777" w:rsidTr="00A04EFE">
              <w:tc>
                <w:tcPr>
                  <w:tcW w:w="856" w:type="dxa"/>
                </w:tcPr>
                <w:p w14:paraId="494EECAE"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1060</w:t>
                  </w:r>
                </w:p>
              </w:tc>
              <w:tc>
                <w:tcPr>
                  <w:tcW w:w="3534" w:type="dxa"/>
                </w:tcPr>
                <w:p w14:paraId="73DAA693" w14:textId="18E3D33A" w:rsidR="008E3BA7" w:rsidRPr="00BF7956" w:rsidRDefault="008E3BA7" w:rsidP="008E3BA7">
                  <w:pPr>
                    <w:pStyle w:val="CM4"/>
                    <w:framePr w:hSpace="180" w:wrap="around" w:vAnchor="text" w:hAnchor="margin" w:y="137"/>
                    <w:spacing w:before="60" w:after="60"/>
                    <w:rPr>
                      <w:color w:val="000000"/>
                      <w:sz w:val="20"/>
                      <w:szCs w:val="20"/>
                    </w:rPr>
                  </w:pPr>
                  <w:r w:rsidRPr="004D2ABD">
                    <w:rPr>
                      <w:b/>
                      <w:bCs/>
                      <w:color w:val="000000"/>
                      <w:sz w:val="20"/>
                      <w:szCs w:val="20"/>
                    </w:rPr>
                    <w:t>3.8.4.2 De</w:t>
                  </w:r>
                  <w:r w:rsidRPr="00BF7956">
                    <w:rPr>
                      <w:b/>
                      <w:bCs/>
                      <w:color w:val="000000"/>
                      <w:sz w:val="20"/>
                      <w:szCs w:val="20"/>
                    </w:rPr>
                    <w:t xml:space="preserve"> la alte contrapărţi </w:t>
                  </w:r>
                  <w:r w:rsidR="003703C2" w:rsidRPr="00BF7956">
                    <w:rPr>
                      <w:sz w:val="20"/>
                      <w:szCs w:val="20"/>
                    </w:rPr>
                    <w:t xml:space="preserve"> </w:t>
                  </w:r>
                  <w:r w:rsidR="003703C2" w:rsidRPr="00BF7956">
                    <w:rPr>
                      <w:color w:val="000000"/>
                      <w:sz w:val="20"/>
                      <w:szCs w:val="20"/>
                    </w:rPr>
                    <w:t>Cuantumul raportat la punctul 3.8.4, altul decât cuantumul raportat la punctul 3.8.4.1.</w:t>
                  </w:r>
                </w:p>
              </w:tc>
            </w:tr>
          </w:tbl>
          <w:p w14:paraId="6C1431C0"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DC577FA" w14:textId="7C2C84F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B989AF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87D09B0" w14:textId="77777777" w:rsidR="008E3BA7" w:rsidRPr="00BF7956" w:rsidRDefault="008E3BA7" w:rsidP="008E3BA7">
            <w:pPr>
              <w:jc w:val="both"/>
              <w:rPr>
                <w:sz w:val="20"/>
                <w:szCs w:val="20"/>
                <w:lang w:val="ro-RO"/>
              </w:rPr>
            </w:pPr>
          </w:p>
        </w:tc>
        <w:tc>
          <w:tcPr>
            <w:tcW w:w="992" w:type="dxa"/>
          </w:tcPr>
          <w:p w14:paraId="5FE95B69" w14:textId="77777777" w:rsidR="008E3BA7" w:rsidRPr="00BF7956" w:rsidRDefault="008E3BA7" w:rsidP="008E3BA7">
            <w:pPr>
              <w:jc w:val="both"/>
              <w:rPr>
                <w:sz w:val="20"/>
                <w:szCs w:val="20"/>
                <w:lang w:val="ro-RO"/>
              </w:rPr>
            </w:pPr>
          </w:p>
        </w:tc>
      </w:tr>
      <w:tr w:rsidR="008E3BA7" w:rsidRPr="00BF7956" w14:paraId="7724113A"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0C7BE3AD" w14:textId="77777777" w:rsidTr="00570E9A">
              <w:tc>
                <w:tcPr>
                  <w:tcW w:w="856" w:type="dxa"/>
                </w:tcPr>
                <w:p w14:paraId="24535DA8" w14:textId="51D3D718"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1070</w:t>
                  </w:r>
                </w:p>
              </w:tc>
              <w:tc>
                <w:tcPr>
                  <w:tcW w:w="3534" w:type="dxa"/>
                </w:tcPr>
                <w:p w14:paraId="415A61A2"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3.9 Variaţia</w:t>
                  </w:r>
                  <w:r w:rsidRPr="00BF7956">
                    <w:rPr>
                      <w:b/>
                      <w:bCs/>
                      <w:color w:val="000000"/>
                      <w:sz w:val="20"/>
                      <w:szCs w:val="20"/>
                    </w:rPr>
                    <w:t xml:space="preserve"> netă a capacităţii de compensare </w:t>
                  </w:r>
                </w:p>
                <w:p w14:paraId="2D3CB1C0" w14:textId="4B319BCE" w:rsidR="008E3BA7" w:rsidRPr="00BF7956" w:rsidRDefault="008507D9" w:rsidP="008E3BA7">
                  <w:pPr>
                    <w:pStyle w:val="CM4"/>
                    <w:framePr w:hSpace="180" w:wrap="around" w:vAnchor="text" w:hAnchor="margin" w:y="137"/>
                    <w:spacing w:before="60" w:after="60"/>
                    <w:rPr>
                      <w:color w:val="000000"/>
                      <w:sz w:val="20"/>
                      <w:szCs w:val="20"/>
                    </w:rPr>
                  </w:pPr>
                  <w:r w:rsidRPr="00BF7956">
                    <w:rPr>
                      <w:color w:val="000000"/>
                      <w:sz w:val="20"/>
                      <w:szCs w:val="20"/>
                    </w:rPr>
                    <w:t>Se raportează variaţia netă a expunerilor de la punctele 3.2, 3.3, 3.4, 3.5, 3.6, 3.7 și 3.8 reprezentând băncile centrale, fluxurile de titluri de valoare și, respectiv, liniile de credit angajate într-o anumită tranșă de timp.</w:t>
                  </w:r>
                </w:p>
              </w:tc>
            </w:tr>
          </w:tbl>
          <w:p w14:paraId="22079759"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19D1E3E2" w14:textId="77777777" w:rsidTr="00A04EFE">
              <w:tc>
                <w:tcPr>
                  <w:tcW w:w="856" w:type="dxa"/>
                </w:tcPr>
                <w:p w14:paraId="5FB731D5"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1070</w:t>
                  </w:r>
                </w:p>
              </w:tc>
              <w:tc>
                <w:tcPr>
                  <w:tcW w:w="3534" w:type="dxa"/>
                </w:tcPr>
                <w:p w14:paraId="5226FA58"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3.9</w:t>
                  </w:r>
                  <w:r w:rsidRPr="00BF7956">
                    <w:rPr>
                      <w:color w:val="000000"/>
                      <w:sz w:val="20"/>
                      <w:szCs w:val="20"/>
                    </w:rPr>
                    <w:t xml:space="preserve"> </w:t>
                  </w:r>
                  <w:r w:rsidRPr="00BF7956">
                    <w:rPr>
                      <w:b/>
                      <w:bCs/>
                      <w:color w:val="000000"/>
                      <w:sz w:val="20"/>
                      <w:szCs w:val="20"/>
                    </w:rPr>
                    <w:t xml:space="preserve">Variaţia netă a capacităţii de compensare </w:t>
                  </w:r>
                </w:p>
                <w:p w14:paraId="11FFB510" w14:textId="090C5CB4" w:rsidR="008E3BA7" w:rsidRPr="00BF7956" w:rsidRDefault="003703C2" w:rsidP="008E3BA7">
                  <w:pPr>
                    <w:pStyle w:val="CM4"/>
                    <w:framePr w:hSpace="180" w:wrap="around" w:vAnchor="text" w:hAnchor="margin" w:y="137"/>
                    <w:spacing w:before="60" w:after="60"/>
                    <w:rPr>
                      <w:color w:val="000000"/>
                      <w:sz w:val="20"/>
                      <w:szCs w:val="20"/>
                    </w:rPr>
                  </w:pPr>
                  <w:r w:rsidRPr="00BF7956">
                    <w:rPr>
                      <w:color w:val="000000"/>
                      <w:sz w:val="20"/>
                      <w:szCs w:val="20"/>
                    </w:rPr>
                    <w:t>Se raportează variația netă a expunerilor menționate la punctele 3.2, 3.3, 3.4, 3.5, 3.6, 3.7 și 3.8 reprezentând băncile centrale, fluxurile de titluri de valoare și, respectiv, liniile de credit angajate într-o anumită tranșă de timp.</w:t>
                  </w:r>
                </w:p>
              </w:tc>
            </w:tr>
          </w:tbl>
          <w:p w14:paraId="18460794"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19D6EDD" w14:textId="3C5ED78A"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FB2F3A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F3AC9BA" w14:textId="77777777" w:rsidR="008E3BA7" w:rsidRPr="00BF7956" w:rsidRDefault="008E3BA7" w:rsidP="008E3BA7">
            <w:pPr>
              <w:jc w:val="both"/>
              <w:rPr>
                <w:sz w:val="20"/>
                <w:szCs w:val="20"/>
                <w:lang w:val="ro-RO"/>
              </w:rPr>
            </w:pPr>
          </w:p>
        </w:tc>
        <w:tc>
          <w:tcPr>
            <w:tcW w:w="992" w:type="dxa"/>
          </w:tcPr>
          <w:p w14:paraId="7D59BFE8" w14:textId="77777777" w:rsidR="008E3BA7" w:rsidRPr="00BF7956" w:rsidRDefault="008E3BA7" w:rsidP="008E3BA7">
            <w:pPr>
              <w:jc w:val="both"/>
              <w:rPr>
                <w:sz w:val="20"/>
                <w:szCs w:val="20"/>
                <w:lang w:val="ro-RO"/>
              </w:rPr>
            </w:pPr>
          </w:p>
        </w:tc>
      </w:tr>
      <w:tr w:rsidR="008E3BA7" w:rsidRPr="00BF7956" w14:paraId="3F23B905"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16A8A6B" w14:textId="77777777" w:rsidTr="00570E9A">
              <w:tc>
                <w:tcPr>
                  <w:tcW w:w="856" w:type="dxa"/>
                </w:tcPr>
                <w:p w14:paraId="07DA1DEC" w14:textId="6F12B001"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1080</w:t>
                  </w:r>
                </w:p>
              </w:tc>
              <w:tc>
                <w:tcPr>
                  <w:tcW w:w="3534" w:type="dxa"/>
                </w:tcPr>
                <w:p w14:paraId="30648C24"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3.10</w:t>
                  </w:r>
                  <w:r w:rsidRPr="00BF7956">
                    <w:rPr>
                      <w:color w:val="000000"/>
                      <w:sz w:val="20"/>
                      <w:szCs w:val="20"/>
                    </w:rPr>
                    <w:t xml:space="preserve"> </w:t>
                  </w:r>
                  <w:r w:rsidRPr="00BF7956">
                    <w:rPr>
                      <w:b/>
                      <w:bCs/>
                      <w:color w:val="000000"/>
                      <w:sz w:val="20"/>
                      <w:szCs w:val="20"/>
                    </w:rPr>
                    <w:t xml:space="preserve">Capacitatea de compensare cumulată </w:t>
                  </w:r>
                </w:p>
                <w:p w14:paraId="55BA9171" w14:textId="6DCAE5A9" w:rsidR="008E3BA7" w:rsidRPr="00BF7956" w:rsidRDefault="008507D9" w:rsidP="008E3BA7">
                  <w:pPr>
                    <w:pStyle w:val="CM4"/>
                    <w:framePr w:hSpace="180" w:wrap="around" w:vAnchor="text" w:hAnchor="margin" w:y="137"/>
                    <w:spacing w:before="60" w:after="60"/>
                    <w:rPr>
                      <w:color w:val="000000"/>
                      <w:sz w:val="20"/>
                      <w:szCs w:val="20"/>
                    </w:rPr>
                  </w:pPr>
                  <w:r w:rsidRPr="00BF7956">
                    <w:rPr>
                      <w:color w:val="000000"/>
                      <w:sz w:val="20"/>
                      <w:szCs w:val="20"/>
                    </w:rPr>
                    <w:t>Cuantumul cumulat al capacităţii de compensare de la data raportării până la limita superioară a tranșei de timp relevante.</w:t>
                  </w:r>
                </w:p>
              </w:tc>
            </w:tr>
          </w:tbl>
          <w:p w14:paraId="0BADE5A0"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753D31B4" w14:textId="77777777" w:rsidTr="00A04EFE">
              <w:tc>
                <w:tcPr>
                  <w:tcW w:w="856" w:type="dxa"/>
                </w:tcPr>
                <w:p w14:paraId="64FDB5DD"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1080</w:t>
                  </w:r>
                </w:p>
              </w:tc>
              <w:tc>
                <w:tcPr>
                  <w:tcW w:w="3534" w:type="dxa"/>
                </w:tcPr>
                <w:p w14:paraId="5141BE59"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3.10</w:t>
                  </w:r>
                  <w:r w:rsidRPr="00BF7956">
                    <w:rPr>
                      <w:color w:val="000000"/>
                      <w:sz w:val="20"/>
                      <w:szCs w:val="20"/>
                    </w:rPr>
                    <w:t xml:space="preserve"> </w:t>
                  </w:r>
                  <w:r w:rsidRPr="00BF7956">
                    <w:rPr>
                      <w:b/>
                      <w:bCs/>
                      <w:color w:val="000000"/>
                      <w:sz w:val="20"/>
                      <w:szCs w:val="20"/>
                    </w:rPr>
                    <w:t xml:space="preserve">Capacitatea de compensare cumulată </w:t>
                  </w:r>
                </w:p>
                <w:p w14:paraId="7436CC01" w14:textId="1C610677"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Cuantumul cumulat al capacităţii de compensare de la data raportării până la limita superioară a tranșei de timp relevante.</w:t>
                  </w:r>
                </w:p>
              </w:tc>
            </w:tr>
          </w:tbl>
          <w:p w14:paraId="294EDBE8"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51571046" w14:textId="7069D2D5"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41821B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CD29D4E" w14:textId="77777777" w:rsidR="008E3BA7" w:rsidRPr="00BF7956" w:rsidRDefault="008E3BA7" w:rsidP="008E3BA7">
            <w:pPr>
              <w:jc w:val="both"/>
              <w:rPr>
                <w:sz w:val="20"/>
                <w:szCs w:val="20"/>
                <w:lang w:val="ro-RO"/>
              </w:rPr>
            </w:pPr>
          </w:p>
        </w:tc>
        <w:tc>
          <w:tcPr>
            <w:tcW w:w="992" w:type="dxa"/>
          </w:tcPr>
          <w:p w14:paraId="36E9B724" w14:textId="77777777" w:rsidR="008E3BA7" w:rsidRPr="00BF7956" w:rsidRDefault="008E3BA7" w:rsidP="008E3BA7">
            <w:pPr>
              <w:jc w:val="both"/>
              <w:rPr>
                <w:sz w:val="20"/>
                <w:szCs w:val="20"/>
                <w:lang w:val="ro-RO"/>
              </w:rPr>
            </w:pPr>
          </w:p>
        </w:tc>
      </w:tr>
      <w:tr w:rsidR="008E3BA7" w:rsidRPr="00BF7956" w14:paraId="31768BED"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1BF5809D" w14:textId="77777777" w:rsidTr="00570E9A">
              <w:tc>
                <w:tcPr>
                  <w:tcW w:w="856" w:type="dxa"/>
                </w:tcPr>
                <w:p w14:paraId="144424AC" w14:textId="77777777" w:rsidR="008E3BA7" w:rsidRPr="00BF7956" w:rsidRDefault="008E3BA7" w:rsidP="008E3BA7">
                  <w:pPr>
                    <w:pStyle w:val="CM3"/>
                    <w:framePr w:hSpace="180" w:wrap="around" w:vAnchor="text" w:hAnchor="margin" w:y="137"/>
                    <w:spacing w:before="60" w:after="60"/>
                    <w:rPr>
                      <w:color w:val="000000"/>
                      <w:sz w:val="20"/>
                      <w:szCs w:val="20"/>
                    </w:rPr>
                  </w:pPr>
                </w:p>
                <w:p w14:paraId="1F4D1A11" w14:textId="153F923C"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1090-1140</w:t>
                  </w:r>
                </w:p>
              </w:tc>
              <w:tc>
                <w:tcPr>
                  <w:tcW w:w="3534" w:type="dxa"/>
                </w:tcPr>
                <w:p w14:paraId="4BCB708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4 CONTINGENŢE </w:t>
                  </w:r>
                </w:p>
                <w:p w14:paraId="6BEDC6EE" w14:textId="1F6DA123"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Secţiunea „Contingenţe” a formularului privind benzile de scadenţă conţine informaţii cu privire la ieșirile contingente.</w:t>
                  </w:r>
                </w:p>
              </w:tc>
            </w:tr>
          </w:tbl>
          <w:p w14:paraId="311D66AA"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0B774415" w14:textId="77777777" w:rsidTr="00A04EFE">
              <w:tc>
                <w:tcPr>
                  <w:tcW w:w="856" w:type="dxa"/>
                </w:tcPr>
                <w:p w14:paraId="7FD0FDEE" w14:textId="77777777" w:rsidR="008E3BA7" w:rsidRPr="00BF7956" w:rsidRDefault="008E3BA7" w:rsidP="008E3BA7">
                  <w:pPr>
                    <w:pStyle w:val="CM3"/>
                    <w:framePr w:hSpace="180" w:wrap="around" w:vAnchor="text" w:hAnchor="margin" w:y="137"/>
                    <w:spacing w:before="60" w:after="60"/>
                    <w:rPr>
                      <w:color w:val="000000"/>
                      <w:sz w:val="20"/>
                      <w:szCs w:val="20"/>
                    </w:rPr>
                  </w:pPr>
                </w:p>
                <w:p w14:paraId="0FAA82CF"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1090-1140</w:t>
                  </w:r>
                </w:p>
              </w:tc>
              <w:tc>
                <w:tcPr>
                  <w:tcW w:w="3534" w:type="dxa"/>
                </w:tcPr>
                <w:p w14:paraId="1B68EFA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4 CONTINGENŢE </w:t>
                  </w:r>
                </w:p>
                <w:p w14:paraId="23BFADB2" w14:textId="77777777"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Secţiunea „Contingenţe” a formularului privind benzile de scadenţă conţine informaţii cu privire la ieșirile contingente.</w:t>
                  </w:r>
                </w:p>
              </w:tc>
            </w:tr>
          </w:tbl>
          <w:p w14:paraId="4FF854EF"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04DF321D" w14:textId="15A4622E"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1923B7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200B952" w14:textId="77777777" w:rsidR="008E3BA7" w:rsidRPr="00BF7956" w:rsidRDefault="008E3BA7" w:rsidP="008E3BA7">
            <w:pPr>
              <w:jc w:val="both"/>
              <w:rPr>
                <w:sz w:val="20"/>
                <w:szCs w:val="20"/>
                <w:lang w:val="ro-RO"/>
              </w:rPr>
            </w:pPr>
          </w:p>
        </w:tc>
        <w:tc>
          <w:tcPr>
            <w:tcW w:w="992" w:type="dxa"/>
          </w:tcPr>
          <w:p w14:paraId="50D25E40" w14:textId="77777777" w:rsidR="008E3BA7" w:rsidRPr="00BF7956" w:rsidRDefault="008E3BA7" w:rsidP="008E3BA7">
            <w:pPr>
              <w:jc w:val="both"/>
              <w:rPr>
                <w:sz w:val="20"/>
                <w:szCs w:val="20"/>
                <w:lang w:val="ro-RO"/>
              </w:rPr>
            </w:pPr>
          </w:p>
        </w:tc>
      </w:tr>
      <w:tr w:rsidR="008E3BA7" w:rsidRPr="00BF7956" w14:paraId="2C85D363"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4738499D" w14:textId="77777777" w:rsidTr="00012863">
              <w:tc>
                <w:tcPr>
                  <w:tcW w:w="856" w:type="dxa"/>
                </w:tcPr>
                <w:p w14:paraId="3453CD18" w14:textId="3F875D3D"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1090</w:t>
                  </w:r>
                </w:p>
              </w:tc>
              <w:tc>
                <w:tcPr>
                  <w:tcW w:w="3534" w:type="dxa"/>
                </w:tcPr>
                <w:p w14:paraId="651AF0A9"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w:t>
                  </w:r>
                  <w:r w:rsidRPr="00BF7956">
                    <w:rPr>
                      <w:color w:val="000000"/>
                      <w:sz w:val="20"/>
                      <w:szCs w:val="20"/>
                    </w:rPr>
                    <w:t xml:space="preserve"> </w:t>
                  </w:r>
                  <w:r w:rsidRPr="00BF7956">
                    <w:rPr>
                      <w:b/>
                      <w:bCs/>
                      <w:color w:val="000000"/>
                      <w:sz w:val="20"/>
                      <w:szCs w:val="20"/>
                    </w:rPr>
                    <w:t xml:space="preserve">Ieșiri din facilităţi angajate </w:t>
                  </w:r>
                </w:p>
                <w:p w14:paraId="3D77EDEC" w14:textId="3CEF4928"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Ieșiri de numerar generate de facilităţi angajate. </w:t>
                  </w:r>
                </w:p>
                <w:p w14:paraId="0DEFE531" w14:textId="35E8C26F"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Instituţiile raportează ca ieșire cuantumul maxim care poate fi utilizat într-o anumită perioadă de timp. Pentru facilităţile de credit cu reînnoire automată, se raportează numai cuantumul care depășește împrumutul existent.</w:t>
                  </w:r>
                </w:p>
              </w:tc>
            </w:tr>
          </w:tbl>
          <w:p w14:paraId="79E8A623"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5CD5BA8A" w14:textId="77777777" w:rsidTr="00A04EFE">
              <w:tc>
                <w:tcPr>
                  <w:tcW w:w="856" w:type="dxa"/>
                </w:tcPr>
                <w:p w14:paraId="36A39508"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1090</w:t>
                  </w:r>
                </w:p>
              </w:tc>
              <w:tc>
                <w:tcPr>
                  <w:tcW w:w="3534" w:type="dxa"/>
                </w:tcPr>
                <w:p w14:paraId="7B84EF99"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 Ieșiri</w:t>
                  </w:r>
                  <w:r w:rsidRPr="00BF7956">
                    <w:rPr>
                      <w:b/>
                      <w:bCs/>
                      <w:color w:val="000000"/>
                      <w:sz w:val="20"/>
                      <w:szCs w:val="20"/>
                    </w:rPr>
                    <w:t xml:space="preserve"> din facilităţi angajate </w:t>
                  </w:r>
                </w:p>
                <w:p w14:paraId="1D73A15C" w14:textId="77777777"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Ieșiri de numerar generate de facilităţi angajate. </w:t>
                  </w:r>
                </w:p>
                <w:p w14:paraId="3C9936BD" w14:textId="0F1034BD"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Băncile raportează ca ieșire cuantumul maxim care poate fi utilizat într-o anumită perioadă. Pentru facilităţile de credit cu reînnoire automată, se raportează numai cuantumul care depășește împrumutul existent.</w:t>
                  </w:r>
                </w:p>
              </w:tc>
            </w:tr>
          </w:tbl>
          <w:p w14:paraId="6D3A9515"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B764554" w14:textId="13AA643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34EADB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C6B053E" w14:textId="77777777" w:rsidR="008E3BA7" w:rsidRPr="00BF7956" w:rsidRDefault="008E3BA7" w:rsidP="008E3BA7">
            <w:pPr>
              <w:jc w:val="both"/>
              <w:rPr>
                <w:sz w:val="20"/>
                <w:szCs w:val="20"/>
                <w:lang w:val="ro-RO"/>
              </w:rPr>
            </w:pPr>
          </w:p>
        </w:tc>
        <w:tc>
          <w:tcPr>
            <w:tcW w:w="992" w:type="dxa"/>
          </w:tcPr>
          <w:p w14:paraId="30B50B78" w14:textId="77777777" w:rsidR="008E3BA7" w:rsidRPr="00BF7956" w:rsidRDefault="008E3BA7" w:rsidP="008E3BA7">
            <w:pPr>
              <w:jc w:val="both"/>
              <w:rPr>
                <w:sz w:val="20"/>
                <w:szCs w:val="20"/>
                <w:lang w:val="ro-RO"/>
              </w:rPr>
            </w:pPr>
          </w:p>
        </w:tc>
      </w:tr>
      <w:tr w:rsidR="004D2ABD" w:rsidRPr="00BB5D62" w14:paraId="36F62850"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4D2ABD" w:rsidRPr="00BB5D62" w14:paraId="4D33F509" w14:textId="77777777" w:rsidTr="00472775">
              <w:tc>
                <w:tcPr>
                  <w:tcW w:w="856" w:type="dxa"/>
                </w:tcPr>
                <w:p w14:paraId="2B05CD25" w14:textId="6A37E816" w:rsidR="004D2ABD" w:rsidRPr="00BF7956" w:rsidRDefault="004D2ABD" w:rsidP="004D2ABD">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1091</w:t>
                  </w:r>
                </w:p>
              </w:tc>
              <w:tc>
                <w:tcPr>
                  <w:tcW w:w="3534" w:type="dxa"/>
                </w:tcPr>
                <w:p w14:paraId="49C95E50" w14:textId="1504E521" w:rsidR="004D2ABD" w:rsidRPr="00BF7956" w:rsidRDefault="004D2ABD" w:rsidP="004D2ABD">
                  <w:pPr>
                    <w:pStyle w:val="CM4"/>
                    <w:framePr w:hSpace="180" w:wrap="around" w:vAnchor="text" w:hAnchor="margin" w:y="137"/>
                    <w:spacing w:before="60" w:after="60"/>
                    <w:rPr>
                      <w:color w:val="000000"/>
                      <w:sz w:val="20"/>
                      <w:szCs w:val="20"/>
                    </w:rPr>
                  </w:pPr>
                  <w:r w:rsidRPr="00BF7956">
                    <w:rPr>
                      <w:b/>
                      <w:bCs/>
                      <w:color w:val="000000"/>
                      <w:sz w:val="20"/>
                      <w:szCs w:val="20"/>
                    </w:rPr>
                    <w:t>4.1.0.1 din care: intragrup sau IPS</w:t>
                  </w:r>
                  <w:r w:rsidRPr="00BF7956">
                    <w:rPr>
                      <w:color w:val="000000"/>
                      <w:sz w:val="20"/>
                      <w:szCs w:val="20"/>
                    </w:rPr>
                    <w:t xml:space="preserve"> Cuantumul contingenţelor de la punctul 4.1 în cazul în care contrapartea este o instituţie-mamă sau o filială a instituţiei sau o altă filială a aceleiași instituţii-mamă ori este legată de instituţia de credit printr-o relaţie în sensul articolului 22 alineatul (7) din Directiva 2013/34/UE sau este un membru al aceluiași sistem instituţional de protecţie menţionat la articolul 113 alineatul (7) din Regulamentul (UE) nr. 575/2013 sau este instituţia centrală sau o instituţie afiliată unei reţele sau unui grup cooperatist, astfel cum se prevede la articolul 10 din Regulamentul (UE) nr. 575/2013.</w:t>
                  </w:r>
                </w:p>
              </w:tc>
            </w:tr>
          </w:tbl>
          <w:p w14:paraId="15065447" w14:textId="77777777" w:rsidR="004D2ABD" w:rsidRPr="00BF7956" w:rsidRDefault="004D2ABD" w:rsidP="004D2ABD">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4D2ABD" w:rsidRPr="00BB5D62" w14:paraId="54806EAD" w14:textId="77777777" w:rsidTr="00472775">
              <w:tc>
                <w:tcPr>
                  <w:tcW w:w="856" w:type="dxa"/>
                </w:tcPr>
                <w:p w14:paraId="3FD39B86" w14:textId="77777777" w:rsidR="004D2ABD" w:rsidRPr="00BF7956" w:rsidRDefault="004D2ABD" w:rsidP="004D2ABD">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1091</w:t>
                  </w:r>
                </w:p>
              </w:tc>
              <w:tc>
                <w:tcPr>
                  <w:tcW w:w="3534" w:type="dxa"/>
                </w:tcPr>
                <w:p w14:paraId="34023A39" w14:textId="79C98E46" w:rsidR="004D2ABD" w:rsidRPr="00BF7956" w:rsidRDefault="004D2ABD" w:rsidP="004D2ABD">
                  <w:pPr>
                    <w:pStyle w:val="CM4"/>
                    <w:framePr w:hSpace="180" w:wrap="around" w:vAnchor="text" w:hAnchor="margin" w:y="137"/>
                    <w:spacing w:before="60" w:after="60"/>
                    <w:rPr>
                      <w:color w:val="000000"/>
                      <w:sz w:val="20"/>
                      <w:szCs w:val="20"/>
                    </w:rPr>
                  </w:pPr>
                  <w:r w:rsidRPr="00BF7956">
                    <w:rPr>
                      <w:b/>
                      <w:bCs/>
                      <w:color w:val="000000"/>
                      <w:sz w:val="20"/>
                      <w:szCs w:val="20"/>
                    </w:rPr>
                    <w:t>4.1.0.1 din care: intragrup sau IPS</w:t>
                  </w:r>
                  <w:r w:rsidRPr="00BF7956">
                    <w:rPr>
                      <w:color w:val="000000"/>
                      <w:sz w:val="20"/>
                      <w:szCs w:val="20"/>
                    </w:rPr>
                    <w:t xml:space="preserve"> </w:t>
                  </w:r>
                </w:p>
              </w:tc>
            </w:tr>
          </w:tbl>
          <w:p w14:paraId="2EDBE3BD" w14:textId="77777777" w:rsidR="004D2ABD" w:rsidRPr="00BF7956" w:rsidRDefault="004D2ABD" w:rsidP="004D2ABD">
            <w:pPr>
              <w:pStyle w:val="CM4"/>
              <w:spacing w:before="60" w:after="60"/>
              <w:jc w:val="center"/>
              <w:rPr>
                <w:color w:val="000000"/>
                <w:sz w:val="20"/>
                <w:szCs w:val="20"/>
                <w:lang w:val="en-US"/>
              </w:rPr>
            </w:pPr>
          </w:p>
        </w:tc>
        <w:tc>
          <w:tcPr>
            <w:tcW w:w="1418" w:type="dxa"/>
          </w:tcPr>
          <w:p w14:paraId="44BC8920" w14:textId="47C74577" w:rsidR="004D2ABD" w:rsidRPr="004D2ABD" w:rsidRDefault="004D2ABD" w:rsidP="004D2ABD">
            <w:pPr>
              <w:jc w:val="center"/>
              <w:rPr>
                <w:bCs/>
                <w:sz w:val="20"/>
                <w:szCs w:val="20"/>
                <w:lang w:val="ro-RO"/>
              </w:rPr>
            </w:pPr>
            <w:r w:rsidRPr="004D2ABD">
              <w:rPr>
                <w:sz w:val="20"/>
                <w:szCs w:val="20"/>
              </w:rPr>
              <w:t>Necompatibil</w:t>
            </w:r>
          </w:p>
        </w:tc>
        <w:tc>
          <w:tcPr>
            <w:tcW w:w="2223" w:type="dxa"/>
          </w:tcPr>
          <w:p w14:paraId="0FE564B3" w14:textId="776D0605" w:rsidR="004D2ABD" w:rsidRPr="004D2ABD" w:rsidRDefault="004D2ABD" w:rsidP="004D2ABD">
            <w:pPr>
              <w:jc w:val="center"/>
              <w:rPr>
                <w:sz w:val="20"/>
                <w:szCs w:val="20"/>
                <w:lang w:val="ro-RO"/>
              </w:rPr>
            </w:pPr>
            <w:r w:rsidRPr="004D2ABD">
              <w:rPr>
                <w:sz w:val="20"/>
                <w:szCs w:val="20"/>
                <w:lang w:val="en-US"/>
              </w:rPr>
              <w:t>Prevederile aferente  sistemelor instituționale de protecție  nu au fost transpuse, deoarece  sistemele respective nu sunt reglementate în Republica Moldova.</w:t>
            </w:r>
          </w:p>
        </w:tc>
        <w:tc>
          <w:tcPr>
            <w:tcW w:w="1134" w:type="dxa"/>
            <w:tcBorders>
              <w:top w:val="single" w:sz="4" w:space="0" w:color="auto"/>
              <w:bottom w:val="single" w:sz="4" w:space="0" w:color="auto"/>
            </w:tcBorders>
          </w:tcPr>
          <w:p w14:paraId="6E54D2DC" w14:textId="77777777" w:rsidR="004D2ABD" w:rsidRPr="00BF7956" w:rsidRDefault="004D2ABD" w:rsidP="004D2ABD">
            <w:pPr>
              <w:jc w:val="both"/>
              <w:rPr>
                <w:sz w:val="20"/>
                <w:szCs w:val="20"/>
                <w:lang w:val="ro-RO"/>
              </w:rPr>
            </w:pPr>
          </w:p>
        </w:tc>
        <w:tc>
          <w:tcPr>
            <w:tcW w:w="992" w:type="dxa"/>
          </w:tcPr>
          <w:p w14:paraId="472A25BA" w14:textId="77777777" w:rsidR="004D2ABD" w:rsidRPr="00BF7956" w:rsidRDefault="004D2ABD" w:rsidP="004D2ABD">
            <w:pPr>
              <w:jc w:val="both"/>
              <w:rPr>
                <w:sz w:val="20"/>
                <w:szCs w:val="20"/>
                <w:lang w:val="ro-RO"/>
              </w:rPr>
            </w:pPr>
          </w:p>
        </w:tc>
      </w:tr>
      <w:tr w:rsidR="008E3BA7" w:rsidRPr="00BF7956" w14:paraId="4D8595B3"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BB5D62" w14:paraId="76F2A514" w14:textId="77777777" w:rsidTr="00B1148F">
              <w:tc>
                <w:tcPr>
                  <w:tcW w:w="856" w:type="dxa"/>
                </w:tcPr>
                <w:p w14:paraId="556CEA72" w14:textId="1CDF9615" w:rsidR="008E3BA7" w:rsidRPr="00BF7956" w:rsidRDefault="008E3BA7" w:rsidP="008E3BA7">
                  <w:pPr>
                    <w:pStyle w:val="CM4"/>
                    <w:framePr w:hSpace="180" w:wrap="around" w:vAnchor="text" w:hAnchor="margin" w:y="137"/>
                    <w:spacing w:before="60" w:after="60"/>
                    <w:ind w:firstLine="33"/>
                    <w:jc w:val="center"/>
                    <w:rPr>
                      <w:i/>
                      <w:iCs/>
                      <w:color w:val="000000"/>
                      <w:sz w:val="20"/>
                      <w:szCs w:val="20"/>
                      <w:lang w:val="ro-RO"/>
                    </w:rPr>
                  </w:pPr>
                  <w:r w:rsidRPr="00BF7956">
                    <w:rPr>
                      <w:color w:val="000000"/>
                      <w:sz w:val="20"/>
                      <w:szCs w:val="20"/>
                    </w:rPr>
                    <w:t>1100</w:t>
                  </w:r>
                </w:p>
              </w:tc>
              <w:tc>
                <w:tcPr>
                  <w:tcW w:w="3534" w:type="dxa"/>
                </w:tcPr>
                <w:p w14:paraId="4E6AEC28" w14:textId="5F9BEF09" w:rsidR="008E3BA7" w:rsidRPr="00BF7956" w:rsidRDefault="008E3BA7" w:rsidP="008E3BA7">
                  <w:pPr>
                    <w:pStyle w:val="CM4"/>
                    <w:framePr w:hSpace="180" w:wrap="around" w:vAnchor="text" w:hAnchor="margin" w:y="137"/>
                    <w:spacing w:before="60" w:after="60"/>
                    <w:rPr>
                      <w:color w:val="000000"/>
                      <w:sz w:val="20"/>
                      <w:szCs w:val="20"/>
                    </w:rPr>
                  </w:pPr>
                  <w:r w:rsidRPr="004D2ABD">
                    <w:rPr>
                      <w:b/>
                      <w:bCs/>
                      <w:color w:val="000000"/>
                      <w:sz w:val="20"/>
                      <w:szCs w:val="20"/>
                    </w:rPr>
                    <w:t>4.1.1</w:t>
                  </w:r>
                  <w:r w:rsidRPr="00BF7956">
                    <w:rPr>
                      <w:color w:val="000000"/>
                      <w:sz w:val="20"/>
                      <w:szCs w:val="20"/>
                    </w:rPr>
                    <w:t xml:space="preserve"> </w:t>
                  </w:r>
                  <w:r w:rsidRPr="00BF7956">
                    <w:rPr>
                      <w:b/>
                      <w:bCs/>
                      <w:color w:val="000000"/>
                      <w:sz w:val="20"/>
                      <w:szCs w:val="20"/>
                    </w:rPr>
                    <w:t xml:space="preserve">Facilităţi de credit angajate </w:t>
                  </w:r>
                  <w:r w:rsidR="002F573E" w:rsidRPr="00BF7956">
                    <w:rPr>
                      <w:color w:val="000000"/>
                      <w:sz w:val="20"/>
                      <w:szCs w:val="20"/>
                    </w:rPr>
                    <w:t>Cuantumul raportat la punctul 4.1 care provine din facilităţi de credit angajate în conformitate cu articolul 31 din Regulamentul delegat (UE) 2015/61.</w:t>
                  </w:r>
                </w:p>
              </w:tc>
            </w:tr>
          </w:tbl>
          <w:p w14:paraId="4B394F6E"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BB5D62" w14:paraId="5BA86C6E" w14:textId="77777777" w:rsidTr="00A04EFE">
              <w:tc>
                <w:tcPr>
                  <w:tcW w:w="856" w:type="dxa"/>
                </w:tcPr>
                <w:p w14:paraId="6450CFCF" w14:textId="77777777" w:rsidR="008E3BA7" w:rsidRPr="00BF7956" w:rsidRDefault="008E3BA7" w:rsidP="008E3BA7">
                  <w:pPr>
                    <w:pStyle w:val="CM4"/>
                    <w:framePr w:hSpace="180" w:wrap="around" w:vAnchor="text" w:hAnchor="margin" w:y="137"/>
                    <w:spacing w:before="60" w:after="60"/>
                    <w:ind w:firstLine="33"/>
                    <w:jc w:val="center"/>
                    <w:rPr>
                      <w:i/>
                      <w:iCs/>
                      <w:color w:val="000000"/>
                      <w:sz w:val="20"/>
                      <w:szCs w:val="20"/>
                      <w:lang w:val="ro-RO"/>
                    </w:rPr>
                  </w:pPr>
                  <w:r w:rsidRPr="00BF7956">
                    <w:rPr>
                      <w:color w:val="000000"/>
                      <w:sz w:val="20"/>
                      <w:szCs w:val="20"/>
                    </w:rPr>
                    <w:t>1100</w:t>
                  </w:r>
                </w:p>
              </w:tc>
              <w:tc>
                <w:tcPr>
                  <w:tcW w:w="3534" w:type="dxa"/>
                </w:tcPr>
                <w:p w14:paraId="01732923"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4.1.1</w:t>
                  </w:r>
                  <w:r w:rsidRPr="00BF7956">
                    <w:rPr>
                      <w:color w:val="000000"/>
                      <w:sz w:val="20"/>
                      <w:szCs w:val="20"/>
                    </w:rPr>
                    <w:t xml:space="preserve"> </w:t>
                  </w:r>
                  <w:r w:rsidRPr="00BF7956">
                    <w:rPr>
                      <w:b/>
                      <w:bCs/>
                      <w:color w:val="000000"/>
                      <w:sz w:val="20"/>
                      <w:szCs w:val="20"/>
                    </w:rPr>
                    <w:t xml:space="preserve">Facilităţi de credit angajate </w:t>
                  </w:r>
                </w:p>
                <w:p w14:paraId="0B411AA9" w14:textId="26136895" w:rsidR="008E3BA7" w:rsidRPr="00BF7956" w:rsidRDefault="00FB24C8" w:rsidP="008E3BA7">
                  <w:pPr>
                    <w:framePr w:hSpace="180" w:wrap="around" w:vAnchor="text" w:hAnchor="margin" w:y="137"/>
                    <w:rPr>
                      <w:sz w:val="20"/>
                      <w:szCs w:val="20"/>
                      <w:lang w:val="it-IT" w:eastAsia="en-US"/>
                    </w:rPr>
                  </w:pPr>
                  <w:r w:rsidRPr="00BF7956">
                    <w:rPr>
                      <w:color w:val="333333"/>
                      <w:sz w:val="20"/>
                      <w:szCs w:val="20"/>
                      <w:lang w:val="it-IT" w:eastAsia="ro-MD"/>
                    </w:rPr>
                    <w:t>Cuantumul raportat la punctul 4.1care provine din facilități de credit angajate în conformitate cu punctele 87-93 Regulamentul nr.44/2020 privind cerinţele de acoperire a necesarului de lichiditate pentru bănci.</w:t>
                  </w:r>
                </w:p>
              </w:tc>
            </w:tr>
          </w:tbl>
          <w:p w14:paraId="70A8FE75"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1E36C3FE" w14:textId="12580B46"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3609B9EC"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E2E53A0" w14:textId="77777777" w:rsidR="008E3BA7" w:rsidRPr="00BF7956" w:rsidRDefault="008E3BA7" w:rsidP="008E3BA7">
            <w:pPr>
              <w:jc w:val="both"/>
              <w:rPr>
                <w:sz w:val="20"/>
                <w:szCs w:val="20"/>
                <w:lang w:val="ro-RO"/>
              </w:rPr>
            </w:pPr>
          </w:p>
        </w:tc>
        <w:tc>
          <w:tcPr>
            <w:tcW w:w="992" w:type="dxa"/>
          </w:tcPr>
          <w:p w14:paraId="424AE024" w14:textId="77777777" w:rsidR="008E3BA7" w:rsidRPr="00BF7956" w:rsidRDefault="008E3BA7" w:rsidP="008E3BA7">
            <w:pPr>
              <w:jc w:val="both"/>
              <w:rPr>
                <w:sz w:val="20"/>
                <w:szCs w:val="20"/>
                <w:lang w:val="ro-RO"/>
              </w:rPr>
            </w:pPr>
          </w:p>
        </w:tc>
      </w:tr>
      <w:tr w:rsidR="008E3BA7" w:rsidRPr="00055BC0" w14:paraId="372925D9"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4A9E168B" w14:textId="77777777" w:rsidTr="00B1148F">
              <w:tc>
                <w:tcPr>
                  <w:tcW w:w="856" w:type="dxa"/>
                </w:tcPr>
                <w:p w14:paraId="55B3D558" w14:textId="7A1CAA16"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1110</w:t>
                  </w:r>
                </w:p>
              </w:tc>
              <w:tc>
                <w:tcPr>
                  <w:tcW w:w="3534" w:type="dxa"/>
                </w:tcPr>
                <w:p w14:paraId="7287009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4.1.1.1</w:t>
                  </w:r>
                  <w:r w:rsidRPr="00BF7956">
                    <w:rPr>
                      <w:color w:val="000000"/>
                      <w:sz w:val="20"/>
                      <w:szCs w:val="20"/>
                    </w:rPr>
                    <w:t xml:space="preserve"> </w:t>
                  </w:r>
                  <w:r w:rsidRPr="00BF7956">
                    <w:rPr>
                      <w:b/>
                      <w:bCs/>
                      <w:color w:val="000000"/>
                      <w:sz w:val="20"/>
                      <w:szCs w:val="20"/>
                    </w:rPr>
                    <w:t xml:space="preserve">Considerate ca fiind de nivel 2B de către beneficiar </w:t>
                  </w:r>
                </w:p>
                <w:p w14:paraId="6F0C6C27" w14:textId="7AA12662" w:rsidR="008E3BA7" w:rsidRPr="00BF7956" w:rsidRDefault="002F573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4.1.1 care este considerat finanţare sub formă de lichidităţi în conformitate cu articolul 16 alineatul (2) din Regulamentul delegat (UE) 2015/61.</w:t>
                  </w:r>
                </w:p>
              </w:tc>
            </w:tr>
          </w:tbl>
          <w:p w14:paraId="1CB0D595"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6E6BBC1A" w14:textId="77777777" w:rsidTr="00A04EFE">
              <w:tc>
                <w:tcPr>
                  <w:tcW w:w="856" w:type="dxa"/>
                </w:tcPr>
                <w:p w14:paraId="4799BBEF"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1110</w:t>
                  </w:r>
                </w:p>
              </w:tc>
              <w:tc>
                <w:tcPr>
                  <w:tcW w:w="3534" w:type="dxa"/>
                </w:tcPr>
                <w:p w14:paraId="6FCB89A0" w14:textId="402EFF65" w:rsidR="008E3BA7" w:rsidRPr="00BF7956" w:rsidRDefault="008E3BA7" w:rsidP="008E3BA7">
                  <w:pPr>
                    <w:pStyle w:val="CM4"/>
                    <w:framePr w:hSpace="180" w:wrap="around" w:vAnchor="text" w:hAnchor="margin" w:y="137"/>
                    <w:spacing w:before="60" w:after="60"/>
                    <w:rPr>
                      <w:color w:val="000000"/>
                      <w:sz w:val="20"/>
                      <w:szCs w:val="20"/>
                    </w:rPr>
                  </w:pPr>
                  <w:r w:rsidRPr="004D2ABD">
                    <w:rPr>
                      <w:b/>
                      <w:bCs/>
                      <w:color w:val="000000"/>
                      <w:sz w:val="20"/>
                      <w:szCs w:val="20"/>
                    </w:rPr>
                    <w:t>4.1.1.1</w:t>
                  </w:r>
                  <w:r w:rsidRPr="00BF7956">
                    <w:rPr>
                      <w:color w:val="000000"/>
                      <w:sz w:val="20"/>
                      <w:szCs w:val="20"/>
                    </w:rPr>
                    <w:t xml:space="preserve"> </w:t>
                  </w:r>
                  <w:r w:rsidRPr="00BF7956">
                    <w:rPr>
                      <w:b/>
                      <w:bCs/>
                      <w:color w:val="000000"/>
                      <w:sz w:val="20"/>
                      <w:szCs w:val="20"/>
                    </w:rPr>
                    <w:t xml:space="preserve">Considerate ca fiind de nivel 2B de către beneficiar </w:t>
                  </w:r>
                </w:p>
              </w:tc>
            </w:tr>
          </w:tbl>
          <w:p w14:paraId="46FE75F1" w14:textId="77777777" w:rsidR="008E3BA7" w:rsidRPr="00BF7956" w:rsidRDefault="008E3BA7" w:rsidP="008E3BA7">
            <w:pPr>
              <w:autoSpaceDE w:val="0"/>
              <w:autoSpaceDN w:val="0"/>
              <w:adjustRightInd w:val="0"/>
              <w:spacing w:before="60" w:after="60"/>
              <w:jc w:val="center"/>
              <w:rPr>
                <w:color w:val="000000"/>
                <w:sz w:val="20"/>
                <w:szCs w:val="20"/>
                <w:lang w:val="en-US"/>
              </w:rPr>
            </w:pPr>
          </w:p>
        </w:tc>
        <w:tc>
          <w:tcPr>
            <w:tcW w:w="1418" w:type="dxa"/>
          </w:tcPr>
          <w:p w14:paraId="2AFF7CF6" w14:textId="157F8A0C" w:rsidR="008E3BA7" w:rsidRPr="00BF7956" w:rsidRDefault="008E3BA7" w:rsidP="008E3BA7">
            <w:pPr>
              <w:rPr>
                <w:b/>
                <w:strike/>
                <w:sz w:val="20"/>
                <w:szCs w:val="20"/>
                <w:lang w:val="ro-RO"/>
              </w:rPr>
            </w:pPr>
            <w:r w:rsidRPr="00BF7956">
              <w:rPr>
                <w:sz w:val="20"/>
                <w:szCs w:val="20"/>
              </w:rPr>
              <w:t>Necompatibil</w:t>
            </w:r>
          </w:p>
        </w:tc>
        <w:tc>
          <w:tcPr>
            <w:tcW w:w="2223" w:type="dxa"/>
          </w:tcPr>
          <w:p w14:paraId="2669BE1D" w14:textId="7E2DD562" w:rsidR="008E3BA7" w:rsidRPr="00BF7956" w:rsidRDefault="008E3BA7" w:rsidP="008E3BA7">
            <w:pPr>
              <w:rPr>
                <w:sz w:val="20"/>
                <w:szCs w:val="20"/>
                <w:lang w:val="ro-RO"/>
              </w:rPr>
            </w:pPr>
            <w:r w:rsidRPr="00BF7956">
              <w:rPr>
                <w:sz w:val="20"/>
                <w:szCs w:val="20"/>
                <w:lang w:val="ro-RO"/>
              </w:rPr>
              <w:t>Prevederile aferente rețelelor cooperatiste și sistemelor instituționale de protecție nu au fost transpuse, deoarece astfel de rețele /instituții nu sunt reglementate în Republica Moldova.</w:t>
            </w:r>
          </w:p>
        </w:tc>
        <w:tc>
          <w:tcPr>
            <w:tcW w:w="1134" w:type="dxa"/>
            <w:tcBorders>
              <w:top w:val="single" w:sz="4" w:space="0" w:color="auto"/>
              <w:bottom w:val="single" w:sz="4" w:space="0" w:color="auto"/>
            </w:tcBorders>
          </w:tcPr>
          <w:p w14:paraId="41AF22B8" w14:textId="77777777" w:rsidR="008E3BA7" w:rsidRPr="00BF7956" w:rsidRDefault="008E3BA7" w:rsidP="008E3BA7">
            <w:pPr>
              <w:jc w:val="both"/>
              <w:rPr>
                <w:sz w:val="20"/>
                <w:szCs w:val="20"/>
                <w:lang w:val="ro-RO"/>
              </w:rPr>
            </w:pPr>
          </w:p>
        </w:tc>
        <w:tc>
          <w:tcPr>
            <w:tcW w:w="992" w:type="dxa"/>
          </w:tcPr>
          <w:p w14:paraId="76D3D1EB" w14:textId="77777777" w:rsidR="008E3BA7" w:rsidRPr="00BF7956" w:rsidRDefault="008E3BA7" w:rsidP="008E3BA7">
            <w:pPr>
              <w:jc w:val="both"/>
              <w:rPr>
                <w:sz w:val="20"/>
                <w:szCs w:val="20"/>
                <w:lang w:val="ro-RO"/>
              </w:rPr>
            </w:pPr>
          </w:p>
        </w:tc>
      </w:tr>
      <w:tr w:rsidR="008E3BA7" w:rsidRPr="00BF7956" w14:paraId="2264DAC0"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691FEF55" w14:textId="77777777" w:rsidTr="00E445EF">
              <w:tc>
                <w:tcPr>
                  <w:tcW w:w="856" w:type="dxa"/>
                </w:tcPr>
                <w:p w14:paraId="2DD3AE6F" w14:textId="4423DC83"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1120</w:t>
                  </w:r>
                </w:p>
              </w:tc>
              <w:tc>
                <w:tcPr>
                  <w:tcW w:w="3534" w:type="dxa"/>
                </w:tcPr>
                <w:p w14:paraId="754C5F0D"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4.1.1.2</w:t>
                  </w:r>
                  <w:r w:rsidRPr="00BF7956">
                    <w:rPr>
                      <w:color w:val="000000"/>
                      <w:sz w:val="20"/>
                      <w:szCs w:val="20"/>
                    </w:rPr>
                    <w:t xml:space="preserve"> </w:t>
                  </w:r>
                  <w:r w:rsidRPr="00BF7956">
                    <w:rPr>
                      <w:b/>
                      <w:bCs/>
                      <w:color w:val="000000"/>
                      <w:sz w:val="20"/>
                      <w:szCs w:val="20"/>
                    </w:rPr>
                    <w:t xml:space="preserve">Altele </w:t>
                  </w:r>
                </w:p>
                <w:p w14:paraId="2CD7AD4B" w14:textId="1F9F424D" w:rsidR="008E3BA7" w:rsidRPr="00BF7956" w:rsidRDefault="002F573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4.1.1, altul decât cuantumul raportat la punctul 4.1.1.1.</w:t>
                  </w:r>
                </w:p>
              </w:tc>
            </w:tr>
          </w:tbl>
          <w:p w14:paraId="3620221A"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336F4A4D" w14:textId="77777777" w:rsidTr="00A04EFE">
              <w:tc>
                <w:tcPr>
                  <w:tcW w:w="856" w:type="dxa"/>
                </w:tcPr>
                <w:p w14:paraId="3CA8D4A0"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1120</w:t>
                  </w:r>
                </w:p>
              </w:tc>
              <w:tc>
                <w:tcPr>
                  <w:tcW w:w="3534" w:type="dxa"/>
                </w:tcPr>
                <w:p w14:paraId="33F1CBFA"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4.1.1.2</w:t>
                  </w:r>
                  <w:r w:rsidRPr="00BF7956">
                    <w:rPr>
                      <w:color w:val="000000"/>
                      <w:sz w:val="20"/>
                      <w:szCs w:val="20"/>
                    </w:rPr>
                    <w:t xml:space="preserve"> </w:t>
                  </w:r>
                  <w:r w:rsidRPr="00BF7956">
                    <w:rPr>
                      <w:b/>
                      <w:bCs/>
                      <w:color w:val="000000"/>
                      <w:sz w:val="20"/>
                      <w:szCs w:val="20"/>
                    </w:rPr>
                    <w:t xml:space="preserve">Altele </w:t>
                  </w:r>
                </w:p>
                <w:p w14:paraId="5E2B0518" w14:textId="3083CB1E" w:rsidR="008E3BA7" w:rsidRPr="00BF7956" w:rsidRDefault="00FB24C8"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4.1.1,, altul decât cuantumul raportat a punctul 4.1.1.1.</w:t>
                  </w:r>
                </w:p>
              </w:tc>
            </w:tr>
          </w:tbl>
          <w:p w14:paraId="09C91564"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02465DEC" w14:textId="0664B351" w:rsidR="008E3BA7" w:rsidRPr="00BF7956" w:rsidRDefault="008E3BA7" w:rsidP="008E3BA7">
            <w:pPr>
              <w:rPr>
                <w:b/>
                <w:strike/>
                <w:sz w:val="20"/>
                <w:szCs w:val="20"/>
                <w:lang w:val="ro-RO"/>
              </w:rPr>
            </w:pPr>
            <w:r w:rsidRPr="004D2ABD">
              <w:rPr>
                <w:bCs/>
                <w:sz w:val="20"/>
                <w:szCs w:val="20"/>
                <w:lang w:val="ro-RO"/>
              </w:rPr>
              <w:t>Compatibil</w:t>
            </w:r>
          </w:p>
        </w:tc>
        <w:tc>
          <w:tcPr>
            <w:tcW w:w="2223" w:type="dxa"/>
          </w:tcPr>
          <w:p w14:paraId="608DC9E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3A86777C" w14:textId="77777777" w:rsidR="008E3BA7" w:rsidRPr="00BF7956" w:rsidRDefault="008E3BA7" w:rsidP="008E3BA7">
            <w:pPr>
              <w:jc w:val="both"/>
              <w:rPr>
                <w:sz w:val="20"/>
                <w:szCs w:val="20"/>
                <w:lang w:val="ro-RO"/>
              </w:rPr>
            </w:pPr>
          </w:p>
        </w:tc>
        <w:tc>
          <w:tcPr>
            <w:tcW w:w="992" w:type="dxa"/>
          </w:tcPr>
          <w:p w14:paraId="53A2AA1C" w14:textId="77777777" w:rsidR="008E3BA7" w:rsidRPr="00BF7956" w:rsidRDefault="008E3BA7" w:rsidP="008E3BA7">
            <w:pPr>
              <w:jc w:val="both"/>
              <w:rPr>
                <w:sz w:val="20"/>
                <w:szCs w:val="20"/>
                <w:lang w:val="ro-RO"/>
              </w:rPr>
            </w:pPr>
          </w:p>
        </w:tc>
      </w:tr>
      <w:tr w:rsidR="008E3BA7" w:rsidRPr="00BF7956" w14:paraId="2776637B"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2084FA01" w14:textId="77777777" w:rsidTr="001F6B2A">
              <w:tc>
                <w:tcPr>
                  <w:tcW w:w="856" w:type="dxa"/>
                </w:tcPr>
                <w:p w14:paraId="092D8EF6" w14:textId="626849E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1130</w:t>
                  </w:r>
                </w:p>
              </w:tc>
              <w:tc>
                <w:tcPr>
                  <w:tcW w:w="3534" w:type="dxa"/>
                </w:tcPr>
                <w:p w14:paraId="3C357441"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4.1.2</w:t>
                  </w:r>
                  <w:r w:rsidRPr="00BF7956">
                    <w:rPr>
                      <w:color w:val="000000"/>
                      <w:sz w:val="20"/>
                      <w:szCs w:val="20"/>
                    </w:rPr>
                    <w:t xml:space="preserve"> </w:t>
                  </w:r>
                  <w:r w:rsidRPr="00BF7956">
                    <w:rPr>
                      <w:b/>
                      <w:bCs/>
                      <w:color w:val="000000"/>
                      <w:sz w:val="20"/>
                      <w:szCs w:val="20"/>
                    </w:rPr>
                    <w:t xml:space="preserve">Facilităţi de lichiditate </w:t>
                  </w:r>
                </w:p>
                <w:p w14:paraId="33D2293E" w14:textId="1C3C7712" w:rsidR="008E3BA7" w:rsidRPr="00BF7956" w:rsidRDefault="002F573E"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punctul 4.1 care provine din facilităţi de lichiditate în conformitate cu articolul 31 din Regulamentul delegat (UE) 2015/61.</w:t>
                  </w:r>
                </w:p>
              </w:tc>
            </w:tr>
          </w:tbl>
          <w:p w14:paraId="7451D384"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28F18DA6" w14:textId="77777777" w:rsidTr="00A04EFE">
              <w:tc>
                <w:tcPr>
                  <w:tcW w:w="856" w:type="dxa"/>
                </w:tcPr>
                <w:p w14:paraId="6A4F52A0"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1130</w:t>
                  </w:r>
                </w:p>
              </w:tc>
              <w:tc>
                <w:tcPr>
                  <w:tcW w:w="3534" w:type="dxa"/>
                </w:tcPr>
                <w:p w14:paraId="14C68969"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4.1.2</w:t>
                  </w:r>
                  <w:r w:rsidRPr="00BF7956">
                    <w:rPr>
                      <w:color w:val="000000"/>
                      <w:sz w:val="20"/>
                      <w:szCs w:val="20"/>
                    </w:rPr>
                    <w:t xml:space="preserve"> </w:t>
                  </w:r>
                  <w:r w:rsidRPr="00BF7956">
                    <w:rPr>
                      <w:b/>
                      <w:bCs/>
                      <w:color w:val="000000"/>
                      <w:sz w:val="20"/>
                      <w:szCs w:val="20"/>
                    </w:rPr>
                    <w:t xml:space="preserve">Facilităţi de lichiditate </w:t>
                  </w:r>
                </w:p>
                <w:p w14:paraId="0021BA37" w14:textId="1F004962" w:rsidR="008E3BA7" w:rsidRPr="00BF7956" w:rsidRDefault="00FB24C8"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 xml:space="preserve">Cuantumul raportat la punctul 4.1 care provine din facilități de lichiditate în conformitate cu punctele 87-93 </w:t>
                  </w:r>
                  <w:r w:rsidR="00B2799B">
                    <w:rPr>
                      <w:rFonts w:eastAsia="Times New Roman"/>
                      <w:color w:val="333333"/>
                      <w:sz w:val="20"/>
                      <w:szCs w:val="20"/>
                      <w:lang w:eastAsia="ro-MD"/>
                    </w:rPr>
                    <w:t xml:space="preserve">din </w:t>
                  </w:r>
                  <w:r w:rsidRPr="00BF7956">
                    <w:rPr>
                      <w:rFonts w:eastAsia="Times New Roman"/>
                      <w:color w:val="333333"/>
                      <w:sz w:val="20"/>
                      <w:szCs w:val="20"/>
                      <w:lang w:eastAsia="ro-MD"/>
                    </w:rPr>
                    <w:t>Regulamentul nr.44/2020 privind cerinţele de acoperire a necesarului de lichiditate pentru bănci.</w:t>
                  </w:r>
                </w:p>
              </w:tc>
            </w:tr>
          </w:tbl>
          <w:p w14:paraId="022C6E8F"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D9A244F" w14:textId="018F4F19"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1D6FEC0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69BEA6BA" w14:textId="77777777" w:rsidR="008E3BA7" w:rsidRPr="00BF7956" w:rsidRDefault="008E3BA7" w:rsidP="008E3BA7">
            <w:pPr>
              <w:jc w:val="both"/>
              <w:rPr>
                <w:sz w:val="20"/>
                <w:szCs w:val="20"/>
                <w:lang w:val="ro-RO"/>
              </w:rPr>
            </w:pPr>
          </w:p>
        </w:tc>
        <w:tc>
          <w:tcPr>
            <w:tcW w:w="992" w:type="dxa"/>
          </w:tcPr>
          <w:p w14:paraId="520F13C6" w14:textId="77777777" w:rsidR="008E3BA7" w:rsidRPr="00BF7956" w:rsidRDefault="008E3BA7" w:rsidP="008E3BA7">
            <w:pPr>
              <w:jc w:val="both"/>
              <w:rPr>
                <w:sz w:val="20"/>
                <w:szCs w:val="20"/>
                <w:lang w:val="ro-RO"/>
              </w:rPr>
            </w:pPr>
          </w:p>
        </w:tc>
      </w:tr>
      <w:tr w:rsidR="002F573E" w:rsidRPr="00BF7956" w14:paraId="7FB07B28"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2F573E" w:rsidRPr="00BF7956" w14:paraId="1B2E9699" w14:textId="77777777" w:rsidTr="00472775">
              <w:tc>
                <w:tcPr>
                  <w:tcW w:w="856" w:type="dxa"/>
                </w:tcPr>
                <w:p w14:paraId="0E1FDB82" w14:textId="692F5D7D" w:rsidR="002F573E" w:rsidRPr="00BF7956" w:rsidRDefault="002F573E" w:rsidP="002F573E">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1131</w:t>
                  </w:r>
                </w:p>
              </w:tc>
              <w:tc>
                <w:tcPr>
                  <w:tcW w:w="3534" w:type="dxa"/>
                </w:tcPr>
                <w:p w14:paraId="7B5E93A4" w14:textId="77777777" w:rsidR="002F573E" w:rsidRPr="00BF7956" w:rsidRDefault="002F573E" w:rsidP="002F573E">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4.1a Ieșiri rezultate din facilităţi de finanţare neangajate </w:t>
                  </w:r>
                </w:p>
                <w:p w14:paraId="3B648AD3" w14:textId="42ACD470" w:rsidR="002F573E" w:rsidRPr="00BF7956" w:rsidRDefault="002F573E" w:rsidP="002F573E">
                  <w:pPr>
                    <w:pStyle w:val="CM4"/>
                    <w:framePr w:hSpace="180" w:wrap="around" w:vAnchor="text" w:hAnchor="margin" w:y="137"/>
                    <w:spacing w:before="60" w:after="60"/>
                    <w:rPr>
                      <w:color w:val="000000"/>
                      <w:sz w:val="20"/>
                      <w:szCs w:val="20"/>
                    </w:rPr>
                  </w:pPr>
                  <w:r w:rsidRPr="00BF7956">
                    <w:rPr>
                      <w:color w:val="000000"/>
                      <w:sz w:val="20"/>
                      <w:szCs w:val="20"/>
                    </w:rPr>
                    <w:t>Facilităţi de lichiditate și de credit neangajate în conformitate cu articolul 23 alineatul (1) literele (a), (b), (d) și (e) din Regulamentul delegat (UE) 2015/61. Instituţiile raportează ca ieșire cuantumul maxim care poate fi utilizat într-o anumită perioadă, raportat în tranșa de timp corespunzătoare celei mai apropiate disponibilităţi. Garanţiile nu trebuie raportate pe acest rând.</w:t>
                  </w:r>
                </w:p>
              </w:tc>
            </w:tr>
          </w:tbl>
          <w:p w14:paraId="176D05FF" w14:textId="77777777" w:rsidR="002F573E" w:rsidRPr="00BF7956" w:rsidRDefault="002F573E"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A66825" w:rsidRPr="00BF7956" w14:paraId="1DD4FB03" w14:textId="77777777" w:rsidTr="00472775">
              <w:tc>
                <w:tcPr>
                  <w:tcW w:w="856" w:type="dxa"/>
                </w:tcPr>
                <w:p w14:paraId="2897A5B4" w14:textId="77777777" w:rsidR="00A66825" w:rsidRPr="00BF7956" w:rsidRDefault="00A66825" w:rsidP="00A66825">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1131</w:t>
                  </w:r>
                </w:p>
              </w:tc>
              <w:tc>
                <w:tcPr>
                  <w:tcW w:w="3534" w:type="dxa"/>
                </w:tcPr>
                <w:p w14:paraId="5CBCC0EE" w14:textId="77777777" w:rsidR="00A66825" w:rsidRPr="00BF7956" w:rsidRDefault="00A66825" w:rsidP="00A66825">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4.1a Ieșiri rezultate din facilităţi de finanţare neangajate </w:t>
                  </w:r>
                </w:p>
                <w:p w14:paraId="504262CC" w14:textId="724DE406" w:rsidR="00A66825" w:rsidRPr="00BF7956" w:rsidRDefault="00A66825" w:rsidP="00A66825">
                  <w:pPr>
                    <w:pStyle w:val="CM4"/>
                    <w:framePr w:hSpace="180" w:wrap="around" w:vAnchor="text" w:hAnchor="margin" w:y="137"/>
                    <w:spacing w:before="60" w:after="60"/>
                    <w:rPr>
                      <w:color w:val="000000"/>
                      <w:sz w:val="20"/>
                      <w:szCs w:val="20"/>
                    </w:rPr>
                  </w:pPr>
                  <w:r w:rsidRPr="00BF7956">
                    <w:rPr>
                      <w:color w:val="000000"/>
                      <w:sz w:val="20"/>
                      <w:szCs w:val="20"/>
                    </w:rPr>
                    <w:t xml:space="preserve">Facilităţi de lichiditate și de credit neangajate în conformitate cu punctul 76, subpunctele 1), 2), 4) și 5) </w:t>
                  </w:r>
                  <w:r w:rsidR="00B2799B">
                    <w:rPr>
                      <w:color w:val="000000"/>
                      <w:sz w:val="20"/>
                      <w:szCs w:val="20"/>
                    </w:rPr>
                    <w:t xml:space="preserve">din </w:t>
                  </w:r>
                  <w:r w:rsidRPr="00BF7956">
                    <w:rPr>
                      <w:color w:val="000000"/>
                      <w:sz w:val="20"/>
                      <w:szCs w:val="20"/>
                    </w:rPr>
                    <w:t>Regulamentul nr.44/2020 privind cerinţele de acoperire a necesarului de lichiditate pentru bănci. Instituţiile raportează ca ieșire cuantumul maxim care poate fi utilizat într-o anumită perioadă, raportat în tranșa de timp corespunzătoare celei mai apropiate disponibilităţi. Garanţiile nu trebuie raportate pe acest rând.</w:t>
                  </w:r>
                </w:p>
              </w:tc>
            </w:tr>
          </w:tbl>
          <w:p w14:paraId="4C8BB485" w14:textId="77777777" w:rsidR="002F573E" w:rsidRPr="00BF7956" w:rsidRDefault="002F573E" w:rsidP="008E3BA7">
            <w:pPr>
              <w:pStyle w:val="CM4"/>
              <w:spacing w:before="60" w:after="60"/>
              <w:jc w:val="center"/>
              <w:rPr>
                <w:color w:val="000000"/>
                <w:sz w:val="20"/>
                <w:szCs w:val="20"/>
              </w:rPr>
            </w:pPr>
          </w:p>
        </w:tc>
        <w:tc>
          <w:tcPr>
            <w:tcW w:w="1418" w:type="dxa"/>
          </w:tcPr>
          <w:p w14:paraId="26992497" w14:textId="5EDEB1D0" w:rsidR="002F573E" w:rsidRPr="00BF7956" w:rsidRDefault="004D2ABD" w:rsidP="008E3BA7">
            <w:pPr>
              <w:rPr>
                <w:bCs/>
                <w:sz w:val="20"/>
                <w:szCs w:val="20"/>
                <w:lang w:val="ro-RO"/>
              </w:rPr>
            </w:pPr>
            <w:r w:rsidRPr="00BF7956">
              <w:rPr>
                <w:bCs/>
                <w:sz w:val="20"/>
                <w:szCs w:val="20"/>
                <w:lang w:val="ro-RO"/>
              </w:rPr>
              <w:t>Compatibil</w:t>
            </w:r>
          </w:p>
        </w:tc>
        <w:tc>
          <w:tcPr>
            <w:tcW w:w="2223" w:type="dxa"/>
          </w:tcPr>
          <w:p w14:paraId="5C1D7943" w14:textId="77777777" w:rsidR="002F573E" w:rsidRPr="00BF7956" w:rsidRDefault="002F573E" w:rsidP="008E3BA7">
            <w:pPr>
              <w:jc w:val="both"/>
              <w:rPr>
                <w:sz w:val="20"/>
                <w:szCs w:val="20"/>
                <w:lang w:val="ro-RO"/>
              </w:rPr>
            </w:pPr>
          </w:p>
        </w:tc>
        <w:tc>
          <w:tcPr>
            <w:tcW w:w="1134" w:type="dxa"/>
            <w:tcBorders>
              <w:top w:val="single" w:sz="4" w:space="0" w:color="auto"/>
              <w:bottom w:val="single" w:sz="4" w:space="0" w:color="auto"/>
            </w:tcBorders>
          </w:tcPr>
          <w:p w14:paraId="71C1F952" w14:textId="77777777" w:rsidR="002F573E" w:rsidRPr="00BF7956" w:rsidRDefault="002F573E" w:rsidP="008E3BA7">
            <w:pPr>
              <w:jc w:val="both"/>
              <w:rPr>
                <w:sz w:val="20"/>
                <w:szCs w:val="20"/>
                <w:lang w:val="ro-RO"/>
              </w:rPr>
            </w:pPr>
          </w:p>
        </w:tc>
        <w:tc>
          <w:tcPr>
            <w:tcW w:w="992" w:type="dxa"/>
          </w:tcPr>
          <w:p w14:paraId="3986B3E7" w14:textId="77777777" w:rsidR="002F573E" w:rsidRPr="00BF7956" w:rsidRDefault="002F573E" w:rsidP="008E3BA7">
            <w:pPr>
              <w:jc w:val="both"/>
              <w:rPr>
                <w:sz w:val="20"/>
                <w:szCs w:val="20"/>
                <w:lang w:val="ro-RO"/>
              </w:rPr>
            </w:pPr>
          </w:p>
        </w:tc>
      </w:tr>
      <w:tr w:rsidR="008E3BA7" w:rsidRPr="00BF7956" w14:paraId="68B8F72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57A1D8D9" w14:textId="77777777" w:rsidTr="007900C5">
              <w:tc>
                <w:tcPr>
                  <w:tcW w:w="856" w:type="dxa"/>
                </w:tcPr>
                <w:p w14:paraId="2877C0F8" w14:textId="34AC668F"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1140</w:t>
                  </w:r>
                </w:p>
              </w:tc>
              <w:tc>
                <w:tcPr>
                  <w:tcW w:w="3534" w:type="dxa"/>
                </w:tcPr>
                <w:p w14:paraId="60BECC10" w14:textId="77777777" w:rsidR="002F573E" w:rsidRPr="00BF7956" w:rsidRDefault="002F573E" w:rsidP="008E3BA7">
                  <w:pPr>
                    <w:pStyle w:val="CM4"/>
                    <w:framePr w:hSpace="180" w:wrap="around" w:vAnchor="text" w:hAnchor="margin" w:y="137"/>
                    <w:spacing w:before="60" w:after="60"/>
                    <w:rPr>
                      <w:color w:val="000000"/>
                      <w:sz w:val="20"/>
                      <w:szCs w:val="20"/>
                    </w:rPr>
                  </w:pPr>
                  <w:r w:rsidRPr="00BF7956">
                    <w:rPr>
                      <w:b/>
                      <w:bCs/>
                      <w:color w:val="000000"/>
                      <w:sz w:val="20"/>
                      <w:szCs w:val="20"/>
                    </w:rPr>
                    <w:t>4.2 Ieșiri determinate de evenimente declanșatoare de tipul scăderii ratingului</w:t>
                  </w:r>
                  <w:r w:rsidRPr="00BF7956">
                    <w:rPr>
                      <w:color w:val="000000"/>
                      <w:sz w:val="20"/>
                      <w:szCs w:val="20"/>
                    </w:rPr>
                    <w:t xml:space="preserve"> </w:t>
                  </w:r>
                </w:p>
                <w:p w14:paraId="1532C44F" w14:textId="38A30335" w:rsidR="008E3BA7" w:rsidRPr="00BF7956" w:rsidRDefault="002F573E" w:rsidP="008E3BA7">
                  <w:pPr>
                    <w:pStyle w:val="CM4"/>
                    <w:framePr w:hSpace="180" w:wrap="around" w:vAnchor="text" w:hAnchor="margin" w:y="137"/>
                    <w:spacing w:before="60" w:after="60"/>
                    <w:rPr>
                      <w:color w:val="000000"/>
                      <w:sz w:val="20"/>
                      <w:szCs w:val="20"/>
                    </w:rPr>
                  </w:pPr>
                  <w:r w:rsidRPr="00BF7956">
                    <w:rPr>
                      <w:color w:val="000000"/>
                      <w:sz w:val="20"/>
                      <w:szCs w:val="20"/>
                    </w:rPr>
                    <w:t>Instituţiile raportează aici efectul unei deteriorări semnificative a calităţii creditului instituţiei, care corespunde unei scăderi cu trei trepte a ratingului obţinut în urma evaluării externe a creditului. Valorile pozitive reprezintă ieșiri contingente, iar valorile negative reprezintă o reducere a datoriilor iniţiale. În cazul în care scăderea ratingului are ca efect răscumpărarea anticipată a datoriilor existente, datoriile în cauză se raportează cu semn negativ într-un interval de timp în care sunt raportate la punctul 1 și, simultan, cu semn pozitiv într-un interval de timp în care datoriile devin exigibile, dacă efectele scăderii ratingului devin aplicabile la data de raportare. În cazul în care scăderea ratingului are ca efect un apel în marjă, valoarea de piaţă a garanţiilor reale care trebuie să fie constituite se raportează cu semn pozitiv într- un interval de timp în care cerinţa devine exigibilă, dacă efectele scăderii ratingului devin aplicabile la data de raportare. În cazul în care scăderea ratingului are ca efect modificarea drepturilor de reipotecare aferente titlurilor de valoare primite ca garanţii reale de la contrapărţi, valoarea de piaţă a titlurilor de valoare afectate se raportează cu semn pozitiv într-un interval de timp în care titlurile de valoare încetează să mai fie la dispoziţia instituţiei raportoare, dacă efectele scăderii ratingului devin aplicabile la data de raportare.</w:t>
                  </w:r>
                </w:p>
              </w:tc>
            </w:tr>
          </w:tbl>
          <w:p w14:paraId="1F884F0E"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7B9C857A" w14:textId="77777777" w:rsidTr="00A04EFE">
              <w:tc>
                <w:tcPr>
                  <w:tcW w:w="856" w:type="dxa"/>
                </w:tcPr>
                <w:p w14:paraId="10E2CF9C"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1140</w:t>
                  </w:r>
                </w:p>
              </w:tc>
              <w:tc>
                <w:tcPr>
                  <w:tcW w:w="3534" w:type="dxa"/>
                </w:tcPr>
                <w:p w14:paraId="368380F0"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4D2ABD">
                    <w:rPr>
                      <w:b/>
                      <w:bCs/>
                      <w:color w:val="333333"/>
                      <w:sz w:val="20"/>
                      <w:szCs w:val="20"/>
                      <w:lang w:val="it-IT" w:eastAsia="ro-MD"/>
                    </w:rPr>
                    <w:t>4.2</w:t>
                  </w:r>
                  <w:r w:rsidRPr="00BF7956">
                    <w:rPr>
                      <w:color w:val="333333"/>
                      <w:sz w:val="20"/>
                      <w:szCs w:val="20"/>
                      <w:lang w:val="it-IT" w:eastAsia="ro-MD"/>
                    </w:rPr>
                    <w:t> </w:t>
                  </w:r>
                  <w:r w:rsidRPr="00BF7956">
                    <w:rPr>
                      <w:b/>
                      <w:bCs/>
                      <w:color w:val="333333"/>
                      <w:sz w:val="20"/>
                      <w:szCs w:val="20"/>
                      <w:lang w:val="it-IT" w:eastAsia="ro-MD"/>
                    </w:rPr>
                    <w:t>Ieșiri determinate de evenimente declanșatoare de tipul scăderii ratingului</w:t>
                  </w:r>
                </w:p>
                <w:p w14:paraId="6DF6488F" w14:textId="5C85CAD0"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Băncile raportează aici efectul unei deteriorări semnificative a calității creditului băncii, care corespunde unei scăderi de cel puțin trei trepte a</w:t>
                  </w:r>
                  <w:r w:rsidR="00B2799B">
                    <w:rPr>
                      <w:color w:val="333333"/>
                      <w:sz w:val="20"/>
                      <w:szCs w:val="20"/>
                      <w:lang w:val="it-IT" w:eastAsia="ro-MD"/>
                    </w:rPr>
                    <w:t>le</w:t>
                  </w:r>
                  <w:r w:rsidRPr="00BF7956">
                    <w:rPr>
                      <w:color w:val="333333"/>
                      <w:sz w:val="20"/>
                      <w:szCs w:val="20"/>
                      <w:lang w:val="it-IT" w:eastAsia="ro-MD"/>
                    </w:rPr>
                    <w:t xml:space="preserve"> ratingului obținut în urma evaluării externe a creditului.</w:t>
                  </w:r>
                </w:p>
                <w:p w14:paraId="1C4A79D5"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Valorile pozitive reprezintă ieșiri contingente, iar valorile negative reprezintă o reducere a datoriilor inițiale.</w:t>
                  </w:r>
                </w:p>
                <w:p w14:paraId="703098CC"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În cazul în care scăderea ratingului are ca efect răscumpărarea anticipată a datoriilor existente, datoriile în cauză se raportează cu semn negativ într-un interval de timp în care sunt raportate la punctul 1 și, simultan, cu semn pozitiv într-un interval de timp în care datoriile devin exigibile, dacă efectele scăderii ratingului devin aplicabile la data de raportare.</w:t>
                  </w:r>
                </w:p>
                <w:p w14:paraId="1362C1B3"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În cazul în care scăderea ratingului are ca efect un apel în marjă, valoarea de piață a garanțiilor reale care trebuie să fie constituite se raportează cu semn pozitiv într-un interval de timp în care cerința devine exigibilă, dacă efectele scăderii ratingului devin aplicabile la data de raportare.</w:t>
                  </w:r>
                </w:p>
                <w:p w14:paraId="68435EE6" w14:textId="4EAD9F9B" w:rsidR="008E3BA7" w:rsidRPr="00BF7956" w:rsidRDefault="008E3BA7"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În cazul în care scăderea ratingului are ca efect modificarea drepturilor de reipotecare aferente titlurilor de valoare primite ca garanții reale de la contrapărți, valoarea de piață a titlurilor de valoare afectate se raportează cu semn pozitiv într-un interval de timp în care titlurile de valoare încetează să mai fie la dispoziția băncii raportoare, dacă efectele scăderii ratingului devin aplicabile la data de raportare.</w:t>
                  </w:r>
                </w:p>
              </w:tc>
            </w:tr>
          </w:tbl>
          <w:p w14:paraId="4B4D813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7762C623" w14:textId="728C4E9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3581E8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06981DF4" w14:textId="77777777" w:rsidR="008E3BA7" w:rsidRPr="00BF7956" w:rsidRDefault="008E3BA7" w:rsidP="008E3BA7">
            <w:pPr>
              <w:jc w:val="both"/>
              <w:rPr>
                <w:sz w:val="20"/>
                <w:szCs w:val="20"/>
                <w:lang w:val="ro-RO"/>
              </w:rPr>
            </w:pPr>
          </w:p>
        </w:tc>
        <w:tc>
          <w:tcPr>
            <w:tcW w:w="992" w:type="dxa"/>
          </w:tcPr>
          <w:p w14:paraId="14C1C540" w14:textId="77777777" w:rsidR="008E3BA7" w:rsidRPr="00BF7956" w:rsidRDefault="008E3BA7" w:rsidP="008E3BA7">
            <w:pPr>
              <w:jc w:val="both"/>
              <w:rPr>
                <w:sz w:val="20"/>
                <w:szCs w:val="20"/>
                <w:lang w:val="ro-RO"/>
              </w:rPr>
            </w:pPr>
          </w:p>
        </w:tc>
      </w:tr>
      <w:tr w:rsidR="008E3BA7" w:rsidRPr="00BF7956" w14:paraId="6AAAAE2F" w14:textId="77777777" w:rsidTr="00C25F84">
        <w:tc>
          <w:tcPr>
            <w:tcW w:w="4576" w:type="dxa"/>
          </w:tcPr>
          <w:tbl>
            <w:tblPr>
              <w:tblStyle w:val="TableGrid"/>
              <w:tblW w:w="4391" w:type="dxa"/>
              <w:tblLayout w:type="fixed"/>
              <w:tblLook w:val="04A0" w:firstRow="1" w:lastRow="0" w:firstColumn="1" w:lastColumn="0" w:noHBand="0" w:noVBand="1"/>
            </w:tblPr>
            <w:tblGrid>
              <w:gridCol w:w="857"/>
              <w:gridCol w:w="3534"/>
            </w:tblGrid>
            <w:tr w:rsidR="008E3BA7" w:rsidRPr="00BF7956" w14:paraId="5A1FA2BD" w14:textId="77777777" w:rsidTr="003D384F">
              <w:tc>
                <w:tcPr>
                  <w:tcW w:w="857" w:type="dxa"/>
                </w:tcPr>
                <w:p w14:paraId="7708E7FA" w14:textId="48AE2589"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1150-1290</w:t>
                  </w:r>
                </w:p>
              </w:tc>
              <w:tc>
                <w:tcPr>
                  <w:tcW w:w="3534" w:type="dxa"/>
                </w:tcPr>
                <w:p w14:paraId="2BB85849" w14:textId="3F37E9A6" w:rsidR="008E3BA7" w:rsidRPr="00BF7956" w:rsidRDefault="008E3BA7" w:rsidP="008E3BA7">
                  <w:pPr>
                    <w:pStyle w:val="CM4"/>
                    <w:framePr w:hSpace="180" w:wrap="around" w:vAnchor="text" w:hAnchor="margin" w:y="137"/>
                    <w:spacing w:before="60" w:after="60"/>
                    <w:rPr>
                      <w:color w:val="000000"/>
                      <w:sz w:val="20"/>
                      <w:szCs w:val="20"/>
                    </w:rPr>
                  </w:pPr>
                  <w:r w:rsidRPr="00BF7956">
                    <w:rPr>
                      <w:b/>
                      <w:bCs/>
                      <w:color w:val="000000"/>
                      <w:sz w:val="20"/>
                      <w:szCs w:val="20"/>
                    </w:rPr>
                    <w:t>5 ELEMENTE MEMORANDUM</w:t>
                  </w:r>
                </w:p>
              </w:tc>
            </w:tr>
          </w:tbl>
          <w:p w14:paraId="4EA8A41A"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83" w:type="dxa"/>
              <w:tblLayout w:type="fixed"/>
              <w:tblLook w:val="04A0" w:firstRow="1" w:lastRow="0" w:firstColumn="1" w:lastColumn="0" w:noHBand="0" w:noVBand="1"/>
            </w:tblPr>
            <w:tblGrid>
              <w:gridCol w:w="840"/>
              <w:gridCol w:w="3543"/>
            </w:tblGrid>
            <w:tr w:rsidR="008E3BA7" w:rsidRPr="00BF7956" w14:paraId="248E34F2" w14:textId="77777777" w:rsidTr="003D384F">
              <w:tc>
                <w:tcPr>
                  <w:tcW w:w="840" w:type="dxa"/>
                </w:tcPr>
                <w:p w14:paraId="42A12FC5"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1150-1290</w:t>
                  </w:r>
                </w:p>
              </w:tc>
              <w:tc>
                <w:tcPr>
                  <w:tcW w:w="3543" w:type="dxa"/>
                </w:tcPr>
                <w:p w14:paraId="3CB27062" w14:textId="77777777" w:rsidR="008E3BA7" w:rsidRPr="00BF7956" w:rsidRDefault="008E3BA7" w:rsidP="008E3BA7">
                  <w:pPr>
                    <w:pStyle w:val="CM4"/>
                    <w:framePr w:hSpace="180" w:wrap="around" w:vAnchor="text" w:hAnchor="margin" w:y="137"/>
                    <w:spacing w:before="60" w:after="60"/>
                    <w:rPr>
                      <w:color w:val="000000"/>
                      <w:sz w:val="20"/>
                      <w:szCs w:val="20"/>
                    </w:rPr>
                  </w:pPr>
                  <w:r w:rsidRPr="00BF7956">
                    <w:rPr>
                      <w:b/>
                      <w:bCs/>
                      <w:color w:val="000000"/>
                      <w:sz w:val="20"/>
                      <w:szCs w:val="20"/>
                    </w:rPr>
                    <w:t>5 ELEMENTE MEMORANDUM</w:t>
                  </w:r>
                </w:p>
              </w:tc>
            </w:tr>
          </w:tbl>
          <w:p w14:paraId="36AC5469"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C2F0741" w14:textId="77777777" w:rsidR="008E3BA7" w:rsidRPr="00BF7956" w:rsidRDefault="008E3BA7" w:rsidP="008E3BA7">
            <w:pPr>
              <w:rPr>
                <w:b/>
                <w:strike/>
                <w:sz w:val="20"/>
                <w:szCs w:val="20"/>
                <w:lang w:val="ro-RO"/>
              </w:rPr>
            </w:pPr>
          </w:p>
        </w:tc>
        <w:tc>
          <w:tcPr>
            <w:tcW w:w="2223" w:type="dxa"/>
          </w:tcPr>
          <w:p w14:paraId="03360A8E"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B3F9711" w14:textId="77777777" w:rsidR="008E3BA7" w:rsidRPr="00BF7956" w:rsidRDefault="008E3BA7" w:rsidP="008E3BA7">
            <w:pPr>
              <w:jc w:val="both"/>
              <w:rPr>
                <w:sz w:val="20"/>
                <w:szCs w:val="20"/>
                <w:lang w:val="ro-RO"/>
              </w:rPr>
            </w:pPr>
          </w:p>
        </w:tc>
        <w:tc>
          <w:tcPr>
            <w:tcW w:w="992" w:type="dxa"/>
          </w:tcPr>
          <w:p w14:paraId="61934AD5" w14:textId="77777777" w:rsidR="008E3BA7" w:rsidRPr="00BF7956" w:rsidRDefault="008E3BA7" w:rsidP="008E3BA7">
            <w:pPr>
              <w:jc w:val="both"/>
              <w:rPr>
                <w:sz w:val="20"/>
                <w:szCs w:val="20"/>
                <w:lang w:val="ro-RO"/>
              </w:rPr>
            </w:pPr>
          </w:p>
        </w:tc>
      </w:tr>
      <w:tr w:rsidR="008E3BA7" w:rsidRPr="00BF7956" w14:paraId="62676833"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6A7C858E" w14:textId="77777777" w:rsidTr="00FD505D">
              <w:tc>
                <w:tcPr>
                  <w:tcW w:w="856" w:type="dxa"/>
                </w:tcPr>
                <w:p w14:paraId="4D88E0F6" w14:textId="6BE79450"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1230</w:t>
                  </w:r>
                </w:p>
              </w:tc>
              <w:tc>
                <w:tcPr>
                  <w:tcW w:w="3534" w:type="dxa"/>
                </w:tcPr>
                <w:p w14:paraId="5273FEFE" w14:textId="77777777" w:rsidR="00A66825" w:rsidRPr="00BF7956" w:rsidRDefault="00A66825"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13 Active HQLA eligibile pentru operaţiuni cu banca centrală – active tranzacţionabile </w:t>
                  </w:r>
                </w:p>
                <w:p w14:paraId="172B12CA" w14:textId="76310AB0" w:rsidR="008E3BA7" w:rsidRPr="00BF7956" w:rsidRDefault="00A66825" w:rsidP="008E3BA7">
                  <w:pPr>
                    <w:pStyle w:val="CM4"/>
                    <w:framePr w:hSpace="180" w:wrap="around" w:vAnchor="text" w:hAnchor="margin" w:y="137"/>
                    <w:spacing w:before="60" w:after="60"/>
                    <w:rPr>
                      <w:color w:val="000000"/>
                      <w:sz w:val="20"/>
                      <w:szCs w:val="20"/>
                    </w:rPr>
                  </w:pPr>
                  <w:r w:rsidRPr="00BF7956">
                    <w:rPr>
                      <w:color w:val="000000"/>
                      <w:sz w:val="20"/>
                      <w:szCs w:val="20"/>
                    </w:rPr>
                    <w:t>Cuantumul raportat la punctele 3.3, 3.4 și 3.5 care constă în garanţii reale eligibile pentru operaţiunile standard cu lichidităţi ale băncii centrale la care instituţia are acces direct la nivelul său de consolidare. În cazul activelor denominate într-o monedă inclusă în anexa la Regulamentul (UE) 2015/233 ca monedă cu o eligibilitate la banca centrală definită într-un mod foarte restrictiv, instituţiile lasă acest câmp necompletat.</w:t>
                  </w:r>
                </w:p>
              </w:tc>
            </w:tr>
          </w:tbl>
          <w:p w14:paraId="11485CBF"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2F713132" w14:textId="77777777" w:rsidTr="00A04EFE">
              <w:tc>
                <w:tcPr>
                  <w:tcW w:w="856" w:type="dxa"/>
                </w:tcPr>
                <w:p w14:paraId="5FF652B0"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1230</w:t>
                  </w:r>
                </w:p>
              </w:tc>
              <w:tc>
                <w:tcPr>
                  <w:tcW w:w="3534" w:type="dxa"/>
                </w:tcPr>
                <w:p w14:paraId="37046E93" w14:textId="77777777" w:rsidR="00396879" w:rsidRPr="00BF7956" w:rsidRDefault="00396879" w:rsidP="00396879">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13 Active HQLA eligibile pentru operaţiuni cu banca centrală – active tranzacţionabile </w:t>
                  </w:r>
                </w:p>
                <w:p w14:paraId="07CF1BFB" w14:textId="4012E088" w:rsidR="008E3BA7" w:rsidRPr="00BF7956" w:rsidRDefault="00396879" w:rsidP="00396879">
                  <w:pPr>
                    <w:framePr w:hSpace="180" w:wrap="around" w:vAnchor="text" w:hAnchor="margin" w:y="137"/>
                    <w:spacing w:before="60" w:after="60"/>
                    <w:rPr>
                      <w:color w:val="333333"/>
                      <w:sz w:val="20"/>
                      <w:szCs w:val="20"/>
                      <w:lang w:val="ro-MD" w:eastAsia="ro-MD"/>
                    </w:rPr>
                  </w:pPr>
                  <w:r w:rsidRPr="00BF7956">
                    <w:rPr>
                      <w:color w:val="000000"/>
                      <w:sz w:val="20"/>
                      <w:szCs w:val="20"/>
                      <w:lang w:val="en-US"/>
                    </w:rPr>
                    <w:t>Cuantumul raportat la punctele 3.3, 3.4 și 3.5 care constă în garanţii reale eligibile pentru operaţiunile standard cu lichidităţi ale băncii centrale la care banca are acces direct la nivelul său de consolidare.</w:t>
                  </w:r>
                </w:p>
              </w:tc>
            </w:tr>
          </w:tbl>
          <w:p w14:paraId="201AB307"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3B52CA64" w14:textId="71E339F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722B36AA"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EDD1DE0" w14:textId="77777777" w:rsidR="008E3BA7" w:rsidRPr="00BF7956" w:rsidRDefault="008E3BA7" w:rsidP="008E3BA7">
            <w:pPr>
              <w:jc w:val="both"/>
              <w:rPr>
                <w:sz w:val="20"/>
                <w:szCs w:val="20"/>
                <w:lang w:val="ro-RO"/>
              </w:rPr>
            </w:pPr>
          </w:p>
        </w:tc>
        <w:tc>
          <w:tcPr>
            <w:tcW w:w="992" w:type="dxa"/>
          </w:tcPr>
          <w:p w14:paraId="03D01FFA" w14:textId="77777777" w:rsidR="008E3BA7" w:rsidRPr="00BF7956" w:rsidRDefault="008E3BA7" w:rsidP="008E3BA7">
            <w:pPr>
              <w:jc w:val="both"/>
              <w:rPr>
                <w:sz w:val="20"/>
                <w:szCs w:val="20"/>
                <w:lang w:val="ro-RO"/>
              </w:rPr>
            </w:pPr>
          </w:p>
        </w:tc>
      </w:tr>
      <w:tr w:rsidR="008E3BA7" w:rsidRPr="00BF7956" w14:paraId="5B6A6158"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52E6F132" w14:textId="77777777" w:rsidTr="00146E5B">
              <w:tc>
                <w:tcPr>
                  <w:tcW w:w="856" w:type="dxa"/>
                </w:tcPr>
                <w:p w14:paraId="461C7EF0" w14:textId="6DD04F9A"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124</w:t>
                  </w:r>
                  <w:r w:rsidR="00A66825" w:rsidRPr="00BF7956">
                    <w:rPr>
                      <w:color w:val="000000"/>
                      <w:sz w:val="20"/>
                      <w:szCs w:val="20"/>
                    </w:rPr>
                    <w:t>1</w:t>
                  </w:r>
                </w:p>
              </w:tc>
              <w:tc>
                <w:tcPr>
                  <w:tcW w:w="3534" w:type="dxa"/>
                </w:tcPr>
                <w:p w14:paraId="5623F95F" w14:textId="77777777" w:rsidR="00A66825" w:rsidRPr="00BF7956" w:rsidRDefault="00A66825"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14 Active eligibile pentru operaţiuni cu banca centrală care nu sunt HQLA raportate la punctul 3.6. </w:t>
                  </w:r>
                </w:p>
                <w:p w14:paraId="4E3E9BAC" w14:textId="0F6FFC05" w:rsidR="008E3BA7" w:rsidRPr="00BF7956" w:rsidRDefault="00A66825" w:rsidP="008E3BA7">
                  <w:pPr>
                    <w:pStyle w:val="CM4"/>
                    <w:framePr w:hSpace="180" w:wrap="around" w:vAnchor="text" w:hAnchor="margin" w:y="137"/>
                    <w:spacing w:before="60" w:after="60"/>
                    <w:rPr>
                      <w:color w:val="000000"/>
                      <w:sz w:val="20"/>
                      <w:szCs w:val="20"/>
                    </w:rPr>
                  </w:pPr>
                  <w:r w:rsidRPr="00BF7956">
                    <w:rPr>
                      <w:color w:val="000000"/>
                      <w:sz w:val="20"/>
                      <w:szCs w:val="20"/>
                    </w:rPr>
                    <w:t>Suma cuantumurilor raportate la punctul 3.6 care constau în garanţii reale eligibile pentru operaţiunile standard cu lichidităţi ale băncii centrale la care instituţia are acces direct la nivelul său de consolidare. În cazul activelor denominate într-o monedă inclusă în Regulamentul (UE) 2015/ 233 ca monedă cu o eligibilitate la banca centrală definită într-un mod foarte restrictiv, instituţiile lasă acest câmp necompletat.</w:t>
                  </w:r>
                </w:p>
              </w:tc>
            </w:tr>
          </w:tbl>
          <w:p w14:paraId="0939FCB7"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58CE6593" w14:textId="77777777" w:rsidTr="00A04EFE">
              <w:tc>
                <w:tcPr>
                  <w:tcW w:w="856" w:type="dxa"/>
                </w:tcPr>
                <w:p w14:paraId="1A8A3305"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1240</w:t>
                  </w:r>
                </w:p>
              </w:tc>
              <w:tc>
                <w:tcPr>
                  <w:tcW w:w="3534" w:type="dxa"/>
                </w:tcPr>
                <w:p w14:paraId="37B6CD82" w14:textId="77777777" w:rsidR="00396879" w:rsidRPr="00BF7956" w:rsidRDefault="00396879" w:rsidP="00396879">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14 Active eligibile pentru operaţiuni cu banca centrală care nu sunt HQLA raportate la punctul 3.6. </w:t>
                  </w:r>
                </w:p>
                <w:p w14:paraId="42D3F798" w14:textId="7AF6B6FC" w:rsidR="008E3BA7" w:rsidRPr="00BF7956" w:rsidRDefault="00396879" w:rsidP="00396879">
                  <w:pPr>
                    <w:pStyle w:val="CM4"/>
                    <w:framePr w:hSpace="180" w:wrap="around" w:vAnchor="text" w:hAnchor="margin" w:y="137"/>
                    <w:spacing w:before="60" w:after="60"/>
                    <w:rPr>
                      <w:color w:val="000000"/>
                      <w:sz w:val="20"/>
                      <w:szCs w:val="20"/>
                    </w:rPr>
                  </w:pPr>
                  <w:r w:rsidRPr="00BF7956">
                    <w:rPr>
                      <w:color w:val="000000"/>
                      <w:sz w:val="20"/>
                      <w:szCs w:val="20"/>
                    </w:rPr>
                    <w:t>Suma cuantumurilor raportate la punctul 3.6 care constau în garanţii reale eligibile pentru operaţiunile standard cu lichidităţi ale băncii centrale la care banca are acces direct la nivelul său de consolidare.</w:t>
                  </w:r>
                </w:p>
              </w:tc>
            </w:tr>
          </w:tbl>
          <w:p w14:paraId="10A0A884" w14:textId="77777777" w:rsidR="008E3BA7" w:rsidRPr="00BF7956" w:rsidRDefault="008E3BA7" w:rsidP="008E3BA7">
            <w:pPr>
              <w:autoSpaceDE w:val="0"/>
              <w:autoSpaceDN w:val="0"/>
              <w:adjustRightInd w:val="0"/>
              <w:spacing w:before="60" w:after="60"/>
              <w:jc w:val="center"/>
              <w:rPr>
                <w:color w:val="000000"/>
                <w:sz w:val="20"/>
                <w:szCs w:val="20"/>
                <w:lang w:val="it-IT"/>
              </w:rPr>
            </w:pPr>
          </w:p>
        </w:tc>
        <w:tc>
          <w:tcPr>
            <w:tcW w:w="1418" w:type="dxa"/>
          </w:tcPr>
          <w:p w14:paraId="7E6D849D" w14:textId="2165144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4A858697"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F892159" w14:textId="77777777" w:rsidR="008E3BA7" w:rsidRPr="00BF7956" w:rsidRDefault="008E3BA7" w:rsidP="008E3BA7">
            <w:pPr>
              <w:jc w:val="both"/>
              <w:rPr>
                <w:sz w:val="20"/>
                <w:szCs w:val="20"/>
                <w:lang w:val="ro-RO"/>
              </w:rPr>
            </w:pPr>
          </w:p>
        </w:tc>
        <w:tc>
          <w:tcPr>
            <w:tcW w:w="992" w:type="dxa"/>
          </w:tcPr>
          <w:p w14:paraId="4AD15302" w14:textId="77777777" w:rsidR="008E3BA7" w:rsidRPr="00BF7956" w:rsidRDefault="008E3BA7" w:rsidP="008E3BA7">
            <w:pPr>
              <w:jc w:val="both"/>
              <w:rPr>
                <w:sz w:val="20"/>
                <w:szCs w:val="20"/>
                <w:lang w:val="ro-RO"/>
              </w:rPr>
            </w:pPr>
          </w:p>
        </w:tc>
      </w:tr>
      <w:tr w:rsidR="008E3BA7" w:rsidRPr="00BF7956" w14:paraId="3B29761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5785954A" w14:textId="77777777" w:rsidTr="00146E5B">
              <w:tc>
                <w:tcPr>
                  <w:tcW w:w="856" w:type="dxa"/>
                </w:tcPr>
                <w:p w14:paraId="00BFF198" w14:textId="139BB74E" w:rsidR="008E3BA7" w:rsidRPr="00BF7956" w:rsidRDefault="008E3BA7" w:rsidP="008E3BA7">
                  <w:pPr>
                    <w:pStyle w:val="CM4"/>
                    <w:framePr w:hSpace="180" w:wrap="around" w:vAnchor="text" w:hAnchor="margin" w:y="137"/>
                    <w:spacing w:after="60"/>
                    <w:jc w:val="center"/>
                    <w:rPr>
                      <w:i/>
                      <w:iCs/>
                      <w:color w:val="000000"/>
                      <w:sz w:val="20"/>
                      <w:szCs w:val="20"/>
                      <w:lang w:val="ro-RO"/>
                    </w:rPr>
                  </w:pPr>
                  <w:r w:rsidRPr="00BF7956">
                    <w:rPr>
                      <w:color w:val="000000"/>
                      <w:sz w:val="20"/>
                      <w:szCs w:val="20"/>
                    </w:rPr>
                    <w:t>1270</w:t>
                  </w:r>
                </w:p>
              </w:tc>
              <w:tc>
                <w:tcPr>
                  <w:tcW w:w="3534" w:type="dxa"/>
                </w:tcPr>
                <w:p w14:paraId="785CD8C1" w14:textId="77777777" w:rsidR="001429F8" w:rsidRPr="00BF7956" w:rsidRDefault="001429F8" w:rsidP="008E3BA7">
                  <w:pPr>
                    <w:pStyle w:val="CM4"/>
                    <w:framePr w:hSpace="180" w:wrap="around" w:vAnchor="text" w:hAnchor="margin" w:y="137"/>
                    <w:spacing w:after="60"/>
                    <w:rPr>
                      <w:color w:val="000000"/>
                      <w:sz w:val="20"/>
                      <w:szCs w:val="20"/>
                    </w:rPr>
                  </w:pPr>
                  <w:r w:rsidRPr="00BF7956">
                    <w:rPr>
                      <w:b/>
                      <w:bCs/>
                      <w:color w:val="000000"/>
                      <w:sz w:val="20"/>
                      <w:szCs w:val="20"/>
                    </w:rPr>
                    <w:t>17 Ieșiri comportamentale din depozite</w:t>
                  </w:r>
                  <w:r w:rsidRPr="00BF7956">
                    <w:rPr>
                      <w:color w:val="000000"/>
                      <w:sz w:val="20"/>
                      <w:szCs w:val="20"/>
                    </w:rPr>
                    <w:t xml:space="preserve"> </w:t>
                  </w:r>
                </w:p>
                <w:p w14:paraId="5EA4134F" w14:textId="799F8922" w:rsidR="008E3BA7" w:rsidRPr="00BF7956" w:rsidRDefault="001429F8" w:rsidP="008E3BA7">
                  <w:pPr>
                    <w:pStyle w:val="CM4"/>
                    <w:framePr w:hSpace="180" w:wrap="around" w:vAnchor="text" w:hAnchor="margin" w:y="137"/>
                    <w:spacing w:after="60"/>
                    <w:rPr>
                      <w:color w:val="000000"/>
                      <w:sz w:val="20"/>
                      <w:szCs w:val="20"/>
                    </w:rPr>
                  </w:pPr>
                  <w:r w:rsidRPr="00BF7956">
                    <w:rPr>
                      <w:color w:val="000000"/>
                      <w:sz w:val="20"/>
                      <w:szCs w:val="20"/>
                    </w:rPr>
                    <w:t>Valoarea raportată la punctul 1.3, redistribuită în tranșe de timp în funcţie de scadenţa comportamentală în scenariul „business as usual” utilizat în scopul managementului riscului de lichiditate al instituţiei raportoare. În sensul acestui câmp, „business as usual” înseamnă „o situaţie în care nu există nicio ipoteză de criză de lichiditate”. Distribuţia trebuie să reflecte „vâscozitatea” depozitelor. Acest element nu reflectă ipotezele din planul de afaceri și, prin urmare, nu include informaţii referitoare la activităţile economice noi. Repartizarea pe tranșe de timp trebuie să respecte nivelul de granularitate utilizat în scopuri interne. Prin urmare, nu toate tranșele de timp trebuie să fie completate.</w:t>
                  </w:r>
                </w:p>
              </w:tc>
            </w:tr>
          </w:tbl>
          <w:p w14:paraId="704FB0E6" w14:textId="77777777" w:rsidR="008E3BA7" w:rsidRPr="00BF7956" w:rsidRDefault="008E3BA7" w:rsidP="008E3BA7">
            <w:pPr>
              <w:pStyle w:val="CM4"/>
              <w:spacing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4CBAAFD7" w14:textId="77777777" w:rsidTr="00A04EFE">
              <w:tc>
                <w:tcPr>
                  <w:tcW w:w="856" w:type="dxa"/>
                </w:tcPr>
                <w:p w14:paraId="02E95944" w14:textId="77777777" w:rsidR="008E3BA7" w:rsidRPr="00BF7956" w:rsidRDefault="008E3BA7" w:rsidP="008E3BA7">
                  <w:pPr>
                    <w:pStyle w:val="CM4"/>
                    <w:framePr w:hSpace="180" w:wrap="around" w:vAnchor="text" w:hAnchor="margin" w:y="137"/>
                    <w:spacing w:after="60"/>
                    <w:rPr>
                      <w:i/>
                      <w:iCs/>
                      <w:color w:val="000000"/>
                      <w:sz w:val="20"/>
                      <w:szCs w:val="20"/>
                      <w:lang w:val="ro-RO"/>
                    </w:rPr>
                  </w:pPr>
                  <w:r w:rsidRPr="00BF7956">
                    <w:rPr>
                      <w:color w:val="000000"/>
                      <w:sz w:val="20"/>
                      <w:szCs w:val="20"/>
                    </w:rPr>
                    <w:t>1270</w:t>
                  </w:r>
                </w:p>
              </w:tc>
              <w:tc>
                <w:tcPr>
                  <w:tcW w:w="3534" w:type="dxa"/>
                </w:tcPr>
                <w:p w14:paraId="4D1240D2" w14:textId="77777777" w:rsidR="008E3BA7" w:rsidRPr="00BF7956" w:rsidRDefault="008E3BA7" w:rsidP="008E3BA7">
                  <w:pPr>
                    <w:pStyle w:val="CM4"/>
                    <w:framePr w:hSpace="180" w:wrap="around" w:vAnchor="text" w:hAnchor="margin" w:y="137"/>
                    <w:spacing w:after="60"/>
                    <w:rPr>
                      <w:b/>
                      <w:bCs/>
                      <w:color w:val="000000"/>
                      <w:sz w:val="20"/>
                      <w:szCs w:val="20"/>
                    </w:rPr>
                  </w:pPr>
                  <w:r w:rsidRPr="004D2ABD">
                    <w:rPr>
                      <w:b/>
                      <w:bCs/>
                      <w:color w:val="000000"/>
                      <w:sz w:val="20"/>
                      <w:szCs w:val="20"/>
                    </w:rPr>
                    <w:t xml:space="preserve">17 </w:t>
                  </w:r>
                  <w:r w:rsidRPr="00BF7956">
                    <w:rPr>
                      <w:b/>
                      <w:bCs/>
                      <w:color w:val="000000"/>
                      <w:sz w:val="20"/>
                      <w:szCs w:val="20"/>
                    </w:rPr>
                    <w:t xml:space="preserve">Ieșiri comportamentale din depozite </w:t>
                  </w:r>
                </w:p>
                <w:p w14:paraId="772ED368" w14:textId="50B716E1" w:rsidR="008E3BA7" w:rsidRPr="00BF7956" w:rsidRDefault="008E3BA7" w:rsidP="008E3BA7">
                  <w:pPr>
                    <w:framePr w:hSpace="180" w:wrap="around" w:vAnchor="text" w:hAnchor="margin" w:y="137"/>
                    <w:spacing w:after="60"/>
                    <w:rPr>
                      <w:color w:val="333333"/>
                      <w:sz w:val="20"/>
                      <w:szCs w:val="20"/>
                      <w:lang w:val="ro-MD" w:eastAsia="ro-MD"/>
                    </w:rPr>
                  </w:pPr>
                  <w:r w:rsidRPr="00BF7956">
                    <w:rPr>
                      <w:color w:val="333333"/>
                      <w:sz w:val="20"/>
                      <w:szCs w:val="20"/>
                      <w:lang w:val="ro-MD" w:eastAsia="ro-MD"/>
                    </w:rPr>
                    <w:t xml:space="preserve">Valoarea raportată </w:t>
                  </w:r>
                  <w:r w:rsidR="00396879" w:rsidRPr="00BF7956">
                    <w:rPr>
                      <w:sz w:val="20"/>
                      <w:szCs w:val="20"/>
                      <w:lang w:val="en-US"/>
                    </w:rPr>
                    <w:t xml:space="preserve"> </w:t>
                  </w:r>
                  <w:r w:rsidR="00396879" w:rsidRPr="00BF7956">
                    <w:rPr>
                      <w:color w:val="333333"/>
                      <w:sz w:val="20"/>
                      <w:szCs w:val="20"/>
                      <w:lang w:val="ro-MD" w:eastAsia="ro-MD"/>
                    </w:rPr>
                    <w:t>la punctul 1.3</w:t>
                  </w:r>
                  <w:r w:rsidRPr="00BF7956">
                    <w:rPr>
                      <w:color w:val="333333"/>
                      <w:sz w:val="20"/>
                      <w:szCs w:val="20"/>
                      <w:lang w:val="ro-MD" w:eastAsia="ro-MD"/>
                    </w:rPr>
                    <w:t>, redistribuită în tranșe de timp în funcție de scadența comportamentală în scenariul „business as usual” utilizat în scopul managementului riscului de lichiditate al băncii raportoare.</w:t>
                  </w:r>
                </w:p>
                <w:p w14:paraId="5A713FD4" w14:textId="77777777" w:rsidR="008E3BA7" w:rsidRPr="00BF7956" w:rsidRDefault="008E3BA7" w:rsidP="008E3BA7">
                  <w:pPr>
                    <w:framePr w:hSpace="180" w:wrap="around" w:vAnchor="text" w:hAnchor="margin" w:y="137"/>
                    <w:spacing w:after="60"/>
                    <w:rPr>
                      <w:color w:val="333333"/>
                      <w:sz w:val="20"/>
                      <w:szCs w:val="20"/>
                      <w:lang w:val="ro-MD" w:eastAsia="ro-MD"/>
                    </w:rPr>
                  </w:pPr>
                  <w:r w:rsidRPr="00BF7956">
                    <w:rPr>
                      <w:color w:val="333333"/>
                      <w:sz w:val="20"/>
                      <w:szCs w:val="20"/>
                      <w:lang w:val="ro-MD" w:eastAsia="ro-MD"/>
                    </w:rPr>
                    <w:t>În sensul acestui câmp, „business as usual” înseamnă „o situație în care nu există nicio ipoteză de criză de lichiditate”.</w:t>
                  </w:r>
                </w:p>
                <w:p w14:paraId="45AA9C61" w14:textId="77777777" w:rsidR="008E3BA7" w:rsidRPr="00BF7956" w:rsidRDefault="008E3BA7" w:rsidP="008E3BA7">
                  <w:pPr>
                    <w:framePr w:hSpace="180" w:wrap="around" w:vAnchor="text" w:hAnchor="margin" w:y="137"/>
                    <w:spacing w:after="60"/>
                    <w:rPr>
                      <w:color w:val="333333"/>
                      <w:sz w:val="20"/>
                      <w:szCs w:val="20"/>
                      <w:lang w:val="ro-MD" w:eastAsia="ro-MD"/>
                    </w:rPr>
                  </w:pPr>
                  <w:r w:rsidRPr="00BF7956">
                    <w:rPr>
                      <w:color w:val="333333"/>
                      <w:sz w:val="20"/>
                      <w:szCs w:val="20"/>
                      <w:lang w:val="ro-MD" w:eastAsia="ro-MD"/>
                    </w:rPr>
                    <w:t>Distribuția trebuie să reflecte „vâscozitatea” depozitelor.</w:t>
                  </w:r>
                </w:p>
                <w:p w14:paraId="3D3E1273" w14:textId="77777777" w:rsidR="008E3BA7" w:rsidRPr="00BF7956" w:rsidRDefault="008E3BA7" w:rsidP="008E3BA7">
                  <w:pPr>
                    <w:framePr w:hSpace="180" w:wrap="around" w:vAnchor="text" w:hAnchor="margin" w:y="137"/>
                    <w:spacing w:after="60"/>
                    <w:rPr>
                      <w:color w:val="333333"/>
                      <w:sz w:val="20"/>
                      <w:szCs w:val="20"/>
                      <w:lang w:val="ro-MD" w:eastAsia="ro-MD"/>
                    </w:rPr>
                  </w:pPr>
                  <w:r w:rsidRPr="00BF7956">
                    <w:rPr>
                      <w:color w:val="333333"/>
                      <w:sz w:val="20"/>
                      <w:szCs w:val="20"/>
                      <w:lang w:val="ro-MD" w:eastAsia="ro-MD"/>
                    </w:rPr>
                    <w:t>Acest element nu reflectă ipotezele din planul de afaceri și, prin urmare, nu include informații referitoare la activitățile economice noi.</w:t>
                  </w:r>
                </w:p>
                <w:p w14:paraId="504D9E31" w14:textId="11569E1F" w:rsidR="008E3BA7" w:rsidRPr="00BF7956" w:rsidRDefault="008E3BA7" w:rsidP="008E3BA7">
                  <w:pPr>
                    <w:pStyle w:val="CM4"/>
                    <w:framePr w:hSpace="180" w:wrap="around" w:vAnchor="text" w:hAnchor="margin" w:y="137"/>
                    <w:spacing w:after="60"/>
                    <w:rPr>
                      <w:color w:val="000000"/>
                      <w:sz w:val="20"/>
                      <w:szCs w:val="20"/>
                    </w:rPr>
                  </w:pPr>
                  <w:r w:rsidRPr="00BF7956">
                    <w:rPr>
                      <w:rFonts w:eastAsia="Times New Roman"/>
                      <w:color w:val="333333"/>
                      <w:sz w:val="20"/>
                      <w:szCs w:val="20"/>
                      <w:lang w:eastAsia="ro-MD"/>
                      <w14:ligatures w14:val="none"/>
                    </w:rPr>
                    <w:t>Repartizarea pe tranșe de timp trebuie să respecte nivelul de granularitate utilizat în scopuri interne. Prin urmare, nu toate tranșele de timp trebuie să fie completate.</w:t>
                  </w:r>
                </w:p>
              </w:tc>
            </w:tr>
          </w:tbl>
          <w:p w14:paraId="3C426210" w14:textId="77777777" w:rsidR="008E3BA7" w:rsidRPr="00BF7956" w:rsidRDefault="008E3BA7" w:rsidP="008E3BA7">
            <w:pPr>
              <w:autoSpaceDE w:val="0"/>
              <w:autoSpaceDN w:val="0"/>
              <w:adjustRightInd w:val="0"/>
              <w:spacing w:after="60"/>
              <w:rPr>
                <w:color w:val="000000"/>
                <w:sz w:val="20"/>
                <w:szCs w:val="20"/>
                <w:lang w:val="it-IT"/>
              </w:rPr>
            </w:pPr>
          </w:p>
        </w:tc>
        <w:tc>
          <w:tcPr>
            <w:tcW w:w="1418" w:type="dxa"/>
          </w:tcPr>
          <w:p w14:paraId="59B8D90D" w14:textId="31D5D67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236BAE6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50D6CDE" w14:textId="77777777" w:rsidR="008E3BA7" w:rsidRPr="00BF7956" w:rsidRDefault="008E3BA7" w:rsidP="008E3BA7">
            <w:pPr>
              <w:jc w:val="both"/>
              <w:rPr>
                <w:sz w:val="20"/>
                <w:szCs w:val="20"/>
                <w:lang w:val="ro-RO"/>
              </w:rPr>
            </w:pPr>
          </w:p>
        </w:tc>
        <w:tc>
          <w:tcPr>
            <w:tcW w:w="992" w:type="dxa"/>
          </w:tcPr>
          <w:p w14:paraId="1F16723E" w14:textId="77777777" w:rsidR="008E3BA7" w:rsidRPr="00BF7956" w:rsidRDefault="008E3BA7" w:rsidP="008E3BA7">
            <w:pPr>
              <w:jc w:val="both"/>
              <w:rPr>
                <w:sz w:val="20"/>
                <w:szCs w:val="20"/>
                <w:lang w:val="ro-RO"/>
              </w:rPr>
            </w:pPr>
          </w:p>
        </w:tc>
      </w:tr>
      <w:tr w:rsidR="008E3BA7" w:rsidRPr="00BF7956" w14:paraId="539B33F0"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4E0EE47C" w14:textId="77777777" w:rsidTr="00146E5B">
              <w:tc>
                <w:tcPr>
                  <w:tcW w:w="856" w:type="dxa"/>
                </w:tcPr>
                <w:p w14:paraId="3ABD2A26" w14:textId="34453CCF"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1280</w:t>
                  </w:r>
                </w:p>
              </w:tc>
              <w:tc>
                <w:tcPr>
                  <w:tcW w:w="3534" w:type="dxa"/>
                </w:tcPr>
                <w:p w14:paraId="552ABEE2" w14:textId="77777777" w:rsidR="001429F8" w:rsidRPr="00BF7956" w:rsidRDefault="001429F8" w:rsidP="008E3BA7">
                  <w:pPr>
                    <w:pStyle w:val="CM4"/>
                    <w:framePr w:hSpace="180" w:wrap="around" w:vAnchor="text" w:hAnchor="margin" w:y="137"/>
                    <w:spacing w:before="60" w:after="60"/>
                    <w:rPr>
                      <w:b/>
                      <w:bCs/>
                      <w:color w:val="000000"/>
                      <w:sz w:val="20"/>
                      <w:szCs w:val="20"/>
                    </w:rPr>
                  </w:pPr>
                  <w:r w:rsidRPr="00BF7956">
                    <w:rPr>
                      <w:b/>
                      <w:bCs/>
                      <w:color w:val="000000"/>
                      <w:sz w:val="20"/>
                      <w:szCs w:val="20"/>
                    </w:rPr>
                    <w:t xml:space="preserve">18 Intrări comportamentale din credite și avansuri </w:t>
                  </w:r>
                </w:p>
                <w:p w14:paraId="0606CDB9" w14:textId="0963CFE2" w:rsidR="008E3BA7" w:rsidRPr="00BF7956" w:rsidRDefault="001429F8" w:rsidP="008E3BA7">
                  <w:pPr>
                    <w:pStyle w:val="CM4"/>
                    <w:framePr w:hSpace="180" w:wrap="around" w:vAnchor="text" w:hAnchor="margin" w:y="137"/>
                    <w:spacing w:before="60" w:after="60"/>
                    <w:rPr>
                      <w:color w:val="000000"/>
                      <w:sz w:val="20"/>
                      <w:szCs w:val="20"/>
                    </w:rPr>
                  </w:pPr>
                  <w:r w:rsidRPr="00BF7956">
                    <w:rPr>
                      <w:color w:val="000000"/>
                      <w:sz w:val="20"/>
                      <w:szCs w:val="20"/>
                    </w:rPr>
                    <w:t>Valoarea raportată la punctul 2.2, redistribuită în tranșe de timp în funcţie de scadenţa comportamentală în scenariul „business as usual” utilizat în scopul managementului riscului de lichiditate al instituţiei raportoare. În sensul acestui câmp, „business as usual” înseamnă „o situaţie în care nu există nicio ipoteză de criză de lichiditate”. Acest punct nu reflectă ipotezele din planul de afaceri și, prin urmare, nu ia în considerare activităţile economice noi. Repartizarea pe tranșe de timp trebuie să respecte nivelul de granularitate utilizat în scopuri interne. Prin urmare, nu toate tranșele de timp trebuie să fie completate.</w:t>
                  </w:r>
                </w:p>
              </w:tc>
            </w:tr>
          </w:tbl>
          <w:p w14:paraId="6E397283"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31D80076" w14:textId="77777777" w:rsidTr="00A04EFE">
              <w:tc>
                <w:tcPr>
                  <w:tcW w:w="856" w:type="dxa"/>
                </w:tcPr>
                <w:p w14:paraId="6040B8A5" w14:textId="77777777"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1280</w:t>
                  </w:r>
                </w:p>
              </w:tc>
              <w:tc>
                <w:tcPr>
                  <w:tcW w:w="3534" w:type="dxa"/>
                </w:tcPr>
                <w:p w14:paraId="64C129EA"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4D2ABD">
                    <w:rPr>
                      <w:b/>
                      <w:bCs/>
                      <w:color w:val="333333"/>
                      <w:sz w:val="20"/>
                      <w:szCs w:val="20"/>
                      <w:lang w:val="it-IT" w:eastAsia="ro-MD"/>
                    </w:rPr>
                    <w:t>18 </w:t>
                  </w:r>
                  <w:r w:rsidRPr="00BF7956">
                    <w:rPr>
                      <w:b/>
                      <w:bCs/>
                      <w:color w:val="333333"/>
                      <w:sz w:val="20"/>
                      <w:szCs w:val="20"/>
                      <w:lang w:val="it-IT" w:eastAsia="ro-MD"/>
                    </w:rPr>
                    <w:t>Intrări comportamentale din credite și avansuri</w:t>
                  </w:r>
                </w:p>
                <w:p w14:paraId="6171D1DE" w14:textId="6D87AC03"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 xml:space="preserve">Valoarea raportată </w:t>
                  </w:r>
                  <w:r w:rsidR="00396879" w:rsidRPr="00BF7956">
                    <w:rPr>
                      <w:sz w:val="20"/>
                      <w:szCs w:val="20"/>
                      <w:lang w:val="en-US"/>
                    </w:rPr>
                    <w:t xml:space="preserve"> </w:t>
                  </w:r>
                  <w:r w:rsidR="00396879" w:rsidRPr="00BF7956">
                    <w:rPr>
                      <w:color w:val="333333"/>
                      <w:sz w:val="20"/>
                      <w:szCs w:val="20"/>
                      <w:lang w:val="it-IT" w:eastAsia="ro-MD"/>
                    </w:rPr>
                    <w:t>la punctul 2.2</w:t>
                  </w:r>
                  <w:r w:rsidRPr="00BF7956">
                    <w:rPr>
                      <w:color w:val="333333"/>
                      <w:sz w:val="20"/>
                      <w:szCs w:val="20"/>
                      <w:lang w:val="it-IT" w:eastAsia="ro-MD"/>
                    </w:rPr>
                    <w:t>, redistribuită în tranșe de timp în funcție de scadența comportamentală în scenariul „business as usual” utilizat în scopul managementului riscului de lichiditate al băncii raportoare.</w:t>
                  </w:r>
                </w:p>
                <w:p w14:paraId="668D2603"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În sensul acestui câmp, „business as usual” înseamnă „o situație în care nu există nicio ipoteză de criză de lichiditate”.</w:t>
                  </w:r>
                </w:p>
                <w:p w14:paraId="4FF81E4D"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Acest punct nu reflectă ipotezele din planul de afaceri și, prin urmare, nu ia în considerare activitățile economice noi.</w:t>
                  </w:r>
                </w:p>
                <w:p w14:paraId="2DF88376" w14:textId="7CAF484F" w:rsidR="008E3BA7" w:rsidRPr="00BF7956" w:rsidRDefault="008E3BA7"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Repartizarea pe tranșe de timp trebuie să respecte nivelul de granularitate utilizat în scopuri interne. Prin urmare, nu toate tranșele de timp trebuie să fie completate.</w:t>
                  </w:r>
                </w:p>
              </w:tc>
            </w:tr>
          </w:tbl>
          <w:p w14:paraId="2CEB0E7E"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097B7D6" w14:textId="0E877AFB"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67747231"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794DBFC1" w14:textId="77777777" w:rsidR="008E3BA7" w:rsidRPr="00BF7956" w:rsidRDefault="008E3BA7" w:rsidP="008E3BA7">
            <w:pPr>
              <w:jc w:val="both"/>
              <w:rPr>
                <w:sz w:val="20"/>
                <w:szCs w:val="20"/>
                <w:lang w:val="ro-RO"/>
              </w:rPr>
            </w:pPr>
          </w:p>
        </w:tc>
        <w:tc>
          <w:tcPr>
            <w:tcW w:w="992" w:type="dxa"/>
          </w:tcPr>
          <w:p w14:paraId="36C235EA" w14:textId="77777777" w:rsidR="008E3BA7" w:rsidRPr="00BF7956" w:rsidRDefault="008E3BA7" w:rsidP="008E3BA7">
            <w:pPr>
              <w:jc w:val="both"/>
              <w:rPr>
                <w:sz w:val="20"/>
                <w:szCs w:val="20"/>
                <w:lang w:val="ro-RO"/>
              </w:rPr>
            </w:pPr>
          </w:p>
        </w:tc>
      </w:tr>
      <w:tr w:rsidR="008E3BA7" w:rsidRPr="00BF7956" w14:paraId="2C48DCA6" w14:textId="77777777" w:rsidTr="00C25F84">
        <w:tc>
          <w:tcPr>
            <w:tcW w:w="4576" w:type="dxa"/>
          </w:tcPr>
          <w:tbl>
            <w:tblPr>
              <w:tblStyle w:val="TableGrid"/>
              <w:tblW w:w="4390" w:type="dxa"/>
              <w:tblLayout w:type="fixed"/>
              <w:tblLook w:val="04A0" w:firstRow="1" w:lastRow="0" w:firstColumn="1" w:lastColumn="0" w:noHBand="0" w:noVBand="1"/>
            </w:tblPr>
            <w:tblGrid>
              <w:gridCol w:w="856"/>
              <w:gridCol w:w="3534"/>
            </w:tblGrid>
            <w:tr w:rsidR="008E3BA7" w:rsidRPr="00055BC0" w14:paraId="4E606CC6" w14:textId="77777777" w:rsidTr="00146E5B">
              <w:tc>
                <w:tcPr>
                  <w:tcW w:w="856" w:type="dxa"/>
                </w:tcPr>
                <w:p w14:paraId="2C603E51" w14:textId="7055C22F" w:rsidR="008E3BA7" w:rsidRPr="00BF7956" w:rsidRDefault="008E3BA7" w:rsidP="008E3BA7">
                  <w:pPr>
                    <w:pStyle w:val="CM4"/>
                    <w:framePr w:hSpace="180" w:wrap="around" w:vAnchor="text" w:hAnchor="margin" w:y="137"/>
                    <w:spacing w:before="60" w:after="60"/>
                    <w:jc w:val="center"/>
                    <w:rPr>
                      <w:i/>
                      <w:iCs/>
                      <w:color w:val="000000"/>
                      <w:sz w:val="20"/>
                      <w:szCs w:val="20"/>
                      <w:lang w:val="ro-RO"/>
                    </w:rPr>
                  </w:pPr>
                  <w:r w:rsidRPr="00BF7956">
                    <w:rPr>
                      <w:color w:val="000000"/>
                      <w:sz w:val="20"/>
                      <w:szCs w:val="20"/>
                    </w:rPr>
                    <w:t>1290</w:t>
                  </w:r>
                </w:p>
              </w:tc>
              <w:tc>
                <w:tcPr>
                  <w:tcW w:w="3534" w:type="dxa"/>
                </w:tcPr>
                <w:p w14:paraId="7CD3F1AE" w14:textId="77777777" w:rsidR="008E3BA7" w:rsidRPr="00BF7956" w:rsidRDefault="008E3BA7" w:rsidP="008E3BA7">
                  <w:pPr>
                    <w:pStyle w:val="CM4"/>
                    <w:framePr w:hSpace="180" w:wrap="around" w:vAnchor="text" w:hAnchor="margin" w:y="137"/>
                    <w:spacing w:before="60" w:after="60"/>
                    <w:rPr>
                      <w:b/>
                      <w:bCs/>
                      <w:color w:val="000000"/>
                      <w:sz w:val="20"/>
                      <w:szCs w:val="20"/>
                    </w:rPr>
                  </w:pPr>
                  <w:r w:rsidRPr="004D2ABD">
                    <w:rPr>
                      <w:b/>
                      <w:bCs/>
                      <w:color w:val="000000"/>
                      <w:sz w:val="20"/>
                      <w:szCs w:val="20"/>
                    </w:rPr>
                    <w:t xml:space="preserve">19 </w:t>
                  </w:r>
                  <w:r w:rsidRPr="00BF7956">
                    <w:rPr>
                      <w:b/>
                      <w:bCs/>
                      <w:color w:val="000000"/>
                      <w:sz w:val="20"/>
                      <w:szCs w:val="20"/>
                    </w:rPr>
                    <w:t xml:space="preserve">Retrageri comportamentale din facilităţi angajate </w:t>
                  </w:r>
                </w:p>
                <w:p w14:paraId="03437808" w14:textId="6417D4A1" w:rsidR="008E3BA7" w:rsidRPr="00BF7956" w:rsidRDefault="008E3BA7" w:rsidP="008E3BA7">
                  <w:pPr>
                    <w:pStyle w:val="CM4"/>
                    <w:framePr w:hSpace="180" w:wrap="around" w:vAnchor="text" w:hAnchor="margin" w:y="137"/>
                    <w:spacing w:before="60" w:after="60"/>
                    <w:rPr>
                      <w:color w:val="000000"/>
                      <w:sz w:val="20"/>
                      <w:szCs w:val="20"/>
                    </w:rPr>
                  </w:pPr>
                  <w:r w:rsidRPr="00BF7956">
                    <w:rPr>
                      <w:color w:val="000000"/>
                      <w:sz w:val="20"/>
                      <w:szCs w:val="20"/>
                    </w:rPr>
                    <w:t xml:space="preserve">Valoarea raportată </w:t>
                  </w:r>
                  <w:r w:rsidR="001429F8" w:rsidRPr="00BF7956">
                    <w:rPr>
                      <w:sz w:val="20"/>
                      <w:szCs w:val="20"/>
                    </w:rPr>
                    <w:t xml:space="preserve"> </w:t>
                  </w:r>
                  <w:r w:rsidR="001429F8" w:rsidRPr="00BF7956">
                    <w:rPr>
                      <w:color w:val="000000"/>
                      <w:sz w:val="20"/>
                      <w:szCs w:val="20"/>
                    </w:rPr>
                    <w:t>la punctul 4.1</w:t>
                  </w:r>
                  <w:r w:rsidRPr="00BF7956">
                    <w:rPr>
                      <w:color w:val="000000"/>
                      <w:sz w:val="20"/>
                      <w:szCs w:val="20"/>
                    </w:rPr>
                    <w:t>, redistribuită în tranșe de timp în funcţie de nivelul comportamental al retragerilor și al nevoilor de lichidităţi rezultate în urma acestora în scenariul «business as usual» utilizat în scopul managementului riscului de lichiditate al instituţiei raportoare. În sensul acestui câmp, „business as usual” înseamnă „o situaţie în care nu există nicio ipoteză de criză de lichiditate”. Acest punct nu reflectă ipotezele din planul de afaceri și, prin urmare, nu ia în considerare activităţile economice noi. Repartizarea pe tranșe de timp trebuie să respecte nivelul de granularitate utilizat în scopuri interne. Prin urmare, nu toate tranșele de timp trebuie să fie completate.</w:t>
                  </w:r>
                </w:p>
              </w:tc>
            </w:tr>
          </w:tbl>
          <w:p w14:paraId="5F791D4B" w14:textId="77777777" w:rsidR="008E3BA7" w:rsidRPr="00BF7956" w:rsidRDefault="008E3BA7" w:rsidP="008E3BA7">
            <w:pPr>
              <w:pStyle w:val="CM4"/>
              <w:spacing w:before="60" w:after="60"/>
              <w:jc w:val="center"/>
              <w:rPr>
                <w:color w:val="000000"/>
                <w:sz w:val="20"/>
                <w:szCs w:val="20"/>
              </w:rPr>
            </w:pPr>
          </w:p>
        </w:tc>
        <w:tc>
          <w:tcPr>
            <w:tcW w:w="4536" w:type="dxa"/>
            <w:shd w:val="clear" w:color="auto" w:fill="auto"/>
          </w:tcPr>
          <w:tbl>
            <w:tblPr>
              <w:tblStyle w:val="TableGrid"/>
              <w:tblW w:w="4390" w:type="dxa"/>
              <w:tblLayout w:type="fixed"/>
              <w:tblLook w:val="04A0" w:firstRow="1" w:lastRow="0" w:firstColumn="1" w:lastColumn="0" w:noHBand="0" w:noVBand="1"/>
            </w:tblPr>
            <w:tblGrid>
              <w:gridCol w:w="856"/>
              <w:gridCol w:w="3534"/>
            </w:tblGrid>
            <w:tr w:rsidR="008E3BA7" w:rsidRPr="00055BC0" w14:paraId="45F9A3EC" w14:textId="77777777" w:rsidTr="00A04EFE">
              <w:tc>
                <w:tcPr>
                  <w:tcW w:w="856" w:type="dxa"/>
                </w:tcPr>
                <w:p w14:paraId="22F0060F" w14:textId="77777777" w:rsidR="008E3BA7" w:rsidRPr="00BF7956" w:rsidRDefault="008E3BA7" w:rsidP="008E3BA7">
                  <w:pPr>
                    <w:pStyle w:val="CM4"/>
                    <w:framePr w:hSpace="180" w:wrap="around" w:vAnchor="text" w:hAnchor="margin" w:y="137"/>
                    <w:spacing w:before="60" w:after="60"/>
                    <w:rPr>
                      <w:i/>
                      <w:iCs/>
                      <w:color w:val="000000"/>
                      <w:sz w:val="20"/>
                      <w:szCs w:val="20"/>
                      <w:lang w:val="ro-RO"/>
                    </w:rPr>
                  </w:pPr>
                  <w:r w:rsidRPr="00BF7956">
                    <w:rPr>
                      <w:color w:val="000000"/>
                      <w:sz w:val="20"/>
                      <w:szCs w:val="20"/>
                    </w:rPr>
                    <w:t>1290</w:t>
                  </w:r>
                </w:p>
              </w:tc>
              <w:tc>
                <w:tcPr>
                  <w:tcW w:w="3534" w:type="dxa"/>
                </w:tcPr>
                <w:p w14:paraId="4B08DB21"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4D2ABD">
                    <w:rPr>
                      <w:b/>
                      <w:bCs/>
                      <w:color w:val="333333"/>
                      <w:sz w:val="20"/>
                      <w:szCs w:val="20"/>
                      <w:lang w:val="it-IT" w:eastAsia="ro-MD"/>
                    </w:rPr>
                    <w:t>19</w:t>
                  </w:r>
                  <w:r w:rsidRPr="00BF7956">
                    <w:rPr>
                      <w:color w:val="333333"/>
                      <w:sz w:val="20"/>
                      <w:szCs w:val="20"/>
                      <w:lang w:val="it-IT" w:eastAsia="ro-MD"/>
                    </w:rPr>
                    <w:t> </w:t>
                  </w:r>
                  <w:r w:rsidRPr="00BF7956">
                    <w:rPr>
                      <w:b/>
                      <w:bCs/>
                      <w:color w:val="333333"/>
                      <w:sz w:val="20"/>
                      <w:szCs w:val="20"/>
                      <w:lang w:val="it-IT" w:eastAsia="ro-MD"/>
                    </w:rPr>
                    <w:t>Retrageri comportamentale din facilități angajate</w:t>
                  </w:r>
                </w:p>
                <w:p w14:paraId="2DCB6E3C" w14:textId="1985A8FE"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 xml:space="preserve">Valoarea raportată </w:t>
                  </w:r>
                  <w:r w:rsidR="00396879" w:rsidRPr="00BF7956">
                    <w:rPr>
                      <w:sz w:val="20"/>
                      <w:szCs w:val="20"/>
                      <w:lang w:val="en-US"/>
                    </w:rPr>
                    <w:t xml:space="preserve"> </w:t>
                  </w:r>
                  <w:r w:rsidR="00396879" w:rsidRPr="00BF7956">
                    <w:rPr>
                      <w:color w:val="333333"/>
                      <w:sz w:val="20"/>
                      <w:szCs w:val="20"/>
                      <w:lang w:val="it-IT" w:eastAsia="ro-MD"/>
                    </w:rPr>
                    <w:t>la punctul 4.1</w:t>
                  </w:r>
                  <w:r w:rsidRPr="00BF7956">
                    <w:rPr>
                      <w:color w:val="333333"/>
                      <w:sz w:val="20"/>
                      <w:szCs w:val="20"/>
                      <w:lang w:val="it-IT" w:eastAsia="ro-MD"/>
                    </w:rPr>
                    <w:t>, redistribuită în tranșe de timp în funcție de nivelul comportamental al retragerilor și al nevoilor de lichidități rezultate în urma acestora în scenariul «business as usual» utilizat în scopul managementului riscului de lichiditate al băncii raportoare.</w:t>
                  </w:r>
                </w:p>
                <w:p w14:paraId="7050C730"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În sensul acestui câmp, „business as usual” înseamnă „o situație în care nu există nicio ipoteză de criză de lichiditate”.</w:t>
                  </w:r>
                </w:p>
                <w:p w14:paraId="65F68302" w14:textId="77777777" w:rsidR="008E3BA7" w:rsidRPr="00BF7956" w:rsidRDefault="008E3BA7" w:rsidP="008E3BA7">
                  <w:pPr>
                    <w:framePr w:hSpace="180" w:wrap="around" w:vAnchor="text" w:hAnchor="margin" w:y="137"/>
                    <w:spacing w:before="60" w:after="60"/>
                    <w:rPr>
                      <w:color w:val="333333"/>
                      <w:sz w:val="20"/>
                      <w:szCs w:val="20"/>
                      <w:lang w:val="it-IT" w:eastAsia="ro-MD"/>
                    </w:rPr>
                  </w:pPr>
                  <w:r w:rsidRPr="00BF7956">
                    <w:rPr>
                      <w:color w:val="333333"/>
                      <w:sz w:val="20"/>
                      <w:szCs w:val="20"/>
                      <w:lang w:val="it-IT" w:eastAsia="ro-MD"/>
                    </w:rPr>
                    <w:t>Acest punct nu reflectă ipotezele din planul de afaceri și, prin urmare, nu ia în considerare activitățile economice noi.</w:t>
                  </w:r>
                </w:p>
                <w:p w14:paraId="6D252B43" w14:textId="3D0CC642" w:rsidR="008E3BA7" w:rsidRPr="00BF7956" w:rsidRDefault="008E3BA7" w:rsidP="008E3BA7">
                  <w:pPr>
                    <w:pStyle w:val="CM4"/>
                    <w:framePr w:hSpace="180" w:wrap="around" w:vAnchor="text" w:hAnchor="margin" w:y="137"/>
                    <w:spacing w:before="60" w:after="60"/>
                    <w:rPr>
                      <w:color w:val="000000"/>
                      <w:sz w:val="20"/>
                      <w:szCs w:val="20"/>
                    </w:rPr>
                  </w:pPr>
                  <w:r w:rsidRPr="00BF7956">
                    <w:rPr>
                      <w:rFonts w:eastAsia="Times New Roman"/>
                      <w:color w:val="333333"/>
                      <w:sz w:val="20"/>
                      <w:szCs w:val="20"/>
                      <w:lang w:eastAsia="ro-MD"/>
                    </w:rPr>
                    <w:t>Repartizarea pe tranșe de timp trebuie să respecte nivelul de granularitate utilizat în scopuri interne. Prin urmare, nu toate tranșele de timp trebuie să fie completate.</w:t>
                  </w:r>
                </w:p>
              </w:tc>
            </w:tr>
          </w:tbl>
          <w:p w14:paraId="4465AA47" w14:textId="77777777" w:rsidR="008E3BA7" w:rsidRPr="00BF7956" w:rsidRDefault="008E3BA7" w:rsidP="008E3BA7">
            <w:pPr>
              <w:autoSpaceDE w:val="0"/>
              <w:autoSpaceDN w:val="0"/>
              <w:adjustRightInd w:val="0"/>
              <w:spacing w:before="60" w:after="60"/>
              <w:rPr>
                <w:color w:val="000000"/>
                <w:sz w:val="20"/>
                <w:szCs w:val="20"/>
                <w:lang w:val="ro-RO"/>
              </w:rPr>
            </w:pPr>
          </w:p>
        </w:tc>
        <w:tc>
          <w:tcPr>
            <w:tcW w:w="1418" w:type="dxa"/>
          </w:tcPr>
          <w:p w14:paraId="0B422C14" w14:textId="7E85A880" w:rsidR="008E3BA7" w:rsidRPr="00BF7956" w:rsidRDefault="008E3BA7" w:rsidP="008E3BA7">
            <w:pPr>
              <w:rPr>
                <w:b/>
                <w:strike/>
                <w:sz w:val="20"/>
                <w:szCs w:val="20"/>
                <w:lang w:val="ro-RO"/>
              </w:rPr>
            </w:pPr>
            <w:r w:rsidRPr="00BF7956">
              <w:rPr>
                <w:bCs/>
                <w:sz w:val="20"/>
                <w:szCs w:val="20"/>
                <w:lang w:val="ro-RO"/>
              </w:rPr>
              <w:t>Compatibil</w:t>
            </w:r>
          </w:p>
        </w:tc>
        <w:tc>
          <w:tcPr>
            <w:tcW w:w="2223" w:type="dxa"/>
          </w:tcPr>
          <w:p w14:paraId="04A1BD4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BE7279B" w14:textId="77777777" w:rsidR="008E3BA7" w:rsidRPr="00BF7956" w:rsidRDefault="008E3BA7" w:rsidP="008E3BA7">
            <w:pPr>
              <w:jc w:val="both"/>
              <w:rPr>
                <w:sz w:val="20"/>
                <w:szCs w:val="20"/>
                <w:lang w:val="ro-RO"/>
              </w:rPr>
            </w:pPr>
          </w:p>
        </w:tc>
        <w:tc>
          <w:tcPr>
            <w:tcW w:w="992" w:type="dxa"/>
          </w:tcPr>
          <w:p w14:paraId="7DE744D7" w14:textId="77777777" w:rsidR="008E3BA7" w:rsidRPr="00BF7956" w:rsidRDefault="008E3BA7" w:rsidP="008E3BA7">
            <w:pPr>
              <w:jc w:val="both"/>
              <w:rPr>
                <w:sz w:val="20"/>
                <w:szCs w:val="20"/>
                <w:lang w:val="ro-RO"/>
              </w:rPr>
            </w:pPr>
          </w:p>
        </w:tc>
      </w:tr>
      <w:tr w:rsidR="008E3BA7" w:rsidRPr="00055BC0" w14:paraId="5A71781F" w14:textId="77777777" w:rsidTr="00C25F84">
        <w:tc>
          <w:tcPr>
            <w:tcW w:w="4576" w:type="dxa"/>
          </w:tcPr>
          <w:p w14:paraId="377D142A" w14:textId="77777777" w:rsidR="008E3BA7" w:rsidRPr="00BF7956" w:rsidRDefault="008E3BA7" w:rsidP="008E3BA7">
            <w:pPr>
              <w:pStyle w:val="CM4"/>
              <w:spacing w:before="60" w:after="60"/>
              <w:rPr>
                <w:color w:val="000000"/>
                <w:sz w:val="20"/>
                <w:szCs w:val="20"/>
              </w:rPr>
            </w:pPr>
            <w:r w:rsidRPr="00BF7956">
              <w:rPr>
                <w:i/>
                <w:iCs/>
                <w:color w:val="000000"/>
                <w:sz w:val="20"/>
                <w:szCs w:val="20"/>
              </w:rPr>
              <w:t xml:space="preserve">ANEXA XXIV </w:t>
            </w:r>
          </w:p>
          <w:p w14:paraId="0C981922" w14:textId="547B5790" w:rsidR="008E3BA7" w:rsidRPr="00BF7956" w:rsidRDefault="008E3BA7" w:rsidP="008E3BA7">
            <w:pPr>
              <w:pStyle w:val="CM4"/>
              <w:spacing w:before="60" w:after="60"/>
              <w:rPr>
                <w:i/>
                <w:iCs/>
                <w:color w:val="000000"/>
                <w:sz w:val="20"/>
                <w:szCs w:val="20"/>
              </w:rPr>
            </w:pPr>
            <w:r w:rsidRPr="00BF7956">
              <w:rPr>
                <w:b/>
                <w:bCs/>
                <w:color w:val="000000"/>
                <w:sz w:val="20"/>
                <w:szCs w:val="20"/>
              </w:rPr>
              <w:t>RAPORTAREA PRIVIND LICHIDITATEA</w:t>
            </w:r>
          </w:p>
        </w:tc>
        <w:tc>
          <w:tcPr>
            <w:tcW w:w="4536" w:type="dxa"/>
            <w:shd w:val="clear" w:color="auto" w:fill="auto"/>
          </w:tcPr>
          <w:p w14:paraId="4208D823"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85885B0" w14:textId="144C7C73" w:rsidR="008E3BA7" w:rsidRPr="00BF7956" w:rsidRDefault="008E3BA7" w:rsidP="008E3BA7">
            <w:pPr>
              <w:rPr>
                <w:b/>
                <w:strike/>
                <w:sz w:val="20"/>
                <w:szCs w:val="20"/>
                <w:lang w:val="ro-RO"/>
              </w:rPr>
            </w:pPr>
            <w:r w:rsidRPr="00BF7956">
              <w:rPr>
                <w:sz w:val="20"/>
                <w:szCs w:val="20"/>
                <w:lang w:val="ro-RO"/>
              </w:rPr>
              <w:t>Nu se transpune în prezentul proiect</w:t>
            </w:r>
          </w:p>
        </w:tc>
        <w:tc>
          <w:tcPr>
            <w:tcW w:w="2223" w:type="dxa"/>
          </w:tcPr>
          <w:p w14:paraId="270D9C03"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5026E838" w14:textId="77777777" w:rsidR="008E3BA7" w:rsidRPr="00BF7956" w:rsidRDefault="008E3BA7" w:rsidP="008E3BA7">
            <w:pPr>
              <w:jc w:val="both"/>
              <w:rPr>
                <w:sz w:val="20"/>
                <w:szCs w:val="20"/>
                <w:lang w:val="ro-RO"/>
              </w:rPr>
            </w:pPr>
          </w:p>
        </w:tc>
        <w:tc>
          <w:tcPr>
            <w:tcW w:w="992" w:type="dxa"/>
          </w:tcPr>
          <w:p w14:paraId="7FA790F8" w14:textId="77777777" w:rsidR="008E3BA7" w:rsidRPr="00BF7956" w:rsidRDefault="008E3BA7" w:rsidP="008E3BA7">
            <w:pPr>
              <w:jc w:val="both"/>
              <w:rPr>
                <w:sz w:val="20"/>
                <w:szCs w:val="20"/>
                <w:lang w:val="ro-RO"/>
              </w:rPr>
            </w:pPr>
          </w:p>
        </w:tc>
      </w:tr>
      <w:tr w:rsidR="008E3BA7" w:rsidRPr="00055BC0" w14:paraId="2DA73726" w14:textId="77777777" w:rsidTr="00C25F84">
        <w:tc>
          <w:tcPr>
            <w:tcW w:w="4576" w:type="dxa"/>
          </w:tcPr>
          <w:p w14:paraId="5D323B70" w14:textId="77777777" w:rsidR="008E3BA7" w:rsidRPr="00BF7956" w:rsidRDefault="008E3BA7" w:rsidP="008E3BA7">
            <w:pPr>
              <w:pStyle w:val="CM4"/>
              <w:spacing w:before="60" w:after="60"/>
              <w:rPr>
                <w:color w:val="000000"/>
                <w:sz w:val="20"/>
                <w:szCs w:val="20"/>
              </w:rPr>
            </w:pPr>
            <w:r w:rsidRPr="00BF7956">
              <w:rPr>
                <w:i/>
                <w:iCs/>
                <w:color w:val="000000"/>
                <w:sz w:val="20"/>
                <w:szCs w:val="20"/>
              </w:rPr>
              <w:t xml:space="preserve">ANEXA XXV </w:t>
            </w:r>
          </w:p>
          <w:p w14:paraId="69A60259" w14:textId="6B1F1C64" w:rsidR="008E3BA7" w:rsidRPr="00BF7956" w:rsidRDefault="008E3BA7" w:rsidP="008E3BA7">
            <w:pPr>
              <w:rPr>
                <w:sz w:val="20"/>
                <w:szCs w:val="20"/>
                <w:lang w:val="en-US" w:eastAsia="en-US"/>
              </w:rPr>
            </w:pPr>
            <w:r w:rsidRPr="00BF7956">
              <w:rPr>
                <w:b/>
                <w:bCs/>
                <w:color w:val="000000"/>
                <w:sz w:val="20"/>
                <w:szCs w:val="20"/>
                <w:lang w:val="en-US"/>
              </w:rPr>
              <w:t>INSTRUCŢIUNI DE COMPLETARE A FORMULARELOR PRIVIND LICHIDITATEA DIN ANEXA XXIV</w:t>
            </w:r>
          </w:p>
        </w:tc>
        <w:tc>
          <w:tcPr>
            <w:tcW w:w="4536" w:type="dxa"/>
            <w:shd w:val="clear" w:color="auto" w:fill="auto"/>
          </w:tcPr>
          <w:p w14:paraId="20B50F7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D1FEB40" w14:textId="0574B32C" w:rsidR="008E3BA7" w:rsidRPr="00BF7956" w:rsidRDefault="008E3BA7" w:rsidP="008E3BA7">
            <w:pPr>
              <w:rPr>
                <w:b/>
                <w:strike/>
                <w:sz w:val="20"/>
                <w:szCs w:val="20"/>
                <w:lang w:val="ro-RO"/>
              </w:rPr>
            </w:pPr>
            <w:r w:rsidRPr="00BF7956">
              <w:rPr>
                <w:sz w:val="20"/>
                <w:szCs w:val="20"/>
                <w:lang w:val="ro-RO"/>
              </w:rPr>
              <w:t>Nu se transpune în prezentul proiect</w:t>
            </w:r>
          </w:p>
        </w:tc>
        <w:tc>
          <w:tcPr>
            <w:tcW w:w="2223" w:type="dxa"/>
          </w:tcPr>
          <w:p w14:paraId="2C90E2F9"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D603370" w14:textId="77777777" w:rsidR="008E3BA7" w:rsidRPr="00BF7956" w:rsidRDefault="008E3BA7" w:rsidP="008E3BA7">
            <w:pPr>
              <w:jc w:val="both"/>
              <w:rPr>
                <w:sz w:val="20"/>
                <w:szCs w:val="20"/>
                <w:lang w:val="ro-RO"/>
              </w:rPr>
            </w:pPr>
          </w:p>
        </w:tc>
        <w:tc>
          <w:tcPr>
            <w:tcW w:w="992" w:type="dxa"/>
          </w:tcPr>
          <w:p w14:paraId="7EA22660" w14:textId="77777777" w:rsidR="008E3BA7" w:rsidRPr="00BF7956" w:rsidRDefault="008E3BA7" w:rsidP="008E3BA7">
            <w:pPr>
              <w:jc w:val="both"/>
              <w:rPr>
                <w:sz w:val="20"/>
                <w:szCs w:val="20"/>
                <w:lang w:val="ro-RO"/>
              </w:rPr>
            </w:pPr>
          </w:p>
        </w:tc>
      </w:tr>
      <w:tr w:rsidR="008E3BA7" w:rsidRPr="00055BC0" w14:paraId="5D7F0AE0" w14:textId="77777777" w:rsidTr="00C25F84">
        <w:tc>
          <w:tcPr>
            <w:tcW w:w="4576" w:type="dxa"/>
          </w:tcPr>
          <w:p w14:paraId="7E529FC4" w14:textId="77777777" w:rsidR="008E3BA7" w:rsidRPr="00BF7956" w:rsidRDefault="008E3BA7" w:rsidP="008E3BA7">
            <w:pPr>
              <w:pStyle w:val="CM4"/>
              <w:spacing w:before="60" w:after="60"/>
              <w:rPr>
                <w:color w:val="000000"/>
                <w:sz w:val="20"/>
                <w:szCs w:val="20"/>
              </w:rPr>
            </w:pPr>
            <w:r w:rsidRPr="00BF7956">
              <w:rPr>
                <w:i/>
                <w:iCs/>
                <w:color w:val="000000"/>
                <w:sz w:val="20"/>
                <w:szCs w:val="20"/>
              </w:rPr>
              <w:t xml:space="preserve">ANEXA XXVI </w:t>
            </w:r>
          </w:p>
          <w:p w14:paraId="748E47B0" w14:textId="42C8221B" w:rsidR="008E3BA7" w:rsidRPr="00BF7956" w:rsidRDefault="008E3BA7" w:rsidP="008E3BA7">
            <w:pPr>
              <w:pStyle w:val="CM4"/>
              <w:spacing w:before="60" w:after="60"/>
              <w:rPr>
                <w:i/>
                <w:iCs/>
                <w:color w:val="000000"/>
                <w:sz w:val="20"/>
                <w:szCs w:val="20"/>
              </w:rPr>
            </w:pPr>
            <w:r w:rsidRPr="00BF7956">
              <w:rPr>
                <w:b/>
                <w:bCs/>
                <w:color w:val="000000"/>
                <w:sz w:val="20"/>
                <w:szCs w:val="20"/>
              </w:rPr>
              <w:t>RAPORTARE SUPLIMENTARĂ ÎN SCOPUL IDENTIFICĂRII ȘI AL ATRIBUIRII RATELOR AMORTIZORULUI G-SII</w:t>
            </w:r>
          </w:p>
        </w:tc>
        <w:tc>
          <w:tcPr>
            <w:tcW w:w="4536" w:type="dxa"/>
            <w:shd w:val="clear" w:color="auto" w:fill="auto"/>
          </w:tcPr>
          <w:p w14:paraId="116116EA"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54B8CFAC" w14:textId="41C34BE4" w:rsidR="008E3BA7" w:rsidRPr="00BF7956" w:rsidRDefault="008E3BA7" w:rsidP="008E3BA7">
            <w:pPr>
              <w:rPr>
                <w:b/>
                <w:strike/>
                <w:sz w:val="20"/>
                <w:szCs w:val="20"/>
                <w:lang w:val="ro-RO"/>
              </w:rPr>
            </w:pPr>
            <w:r w:rsidRPr="00BF7956">
              <w:rPr>
                <w:sz w:val="20"/>
                <w:szCs w:val="20"/>
                <w:lang w:val="ro-RO"/>
              </w:rPr>
              <w:t>Nu se transpune în prezentul proiect</w:t>
            </w:r>
          </w:p>
        </w:tc>
        <w:tc>
          <w:tcPr>
            <w:tcW w:w="2223" w:type="dxa"/>
          </w:tcPr>
          <w:p w14:paraId="5103C9F5"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196798FE" w14:textId="77777777" w:rsidR="008E3BA7" w:rsidRPr="00BF7956" w:rsidRDefault="008E3BA7" w:rsidP="008E3BA7">
            <w:pPr>
              <w:jc w:val="both"/>
              <w:rPr>
                <w:sz w:val="20"/>
                <w:szCs w:val="20"/>
                <w:lang w:val="ro-RO"/>
              </w:rPr>
            </w:pPr>
          </w:p>
        </w:tc>
        <w:tc>
          <w:tcPr>
            <w:tcW w:w="992" w:type="dxa"/>
          </w:tcPr>
          <w:p w14:paraId="36650BB6" w14:textId="77777777" w:rsidR="008E3BA7" w:rsidRPr="00BF7956" w:rsidRDefault="008E3BA7" w:rsidP="008E3BA7">
            <w:pPr>
              <w:jc w:val="both"/>
              <w:rPr>
                <w:sz w:val="20"/>
                <w:szCs w:val="20"/>
                <w:lang w:val="ro-RO"/>
              </w:rPr>
            </w:pPr>
          </w:p>
        </w:tc>
      </w:tr>
      <w:tr w:rsidR="008E3BA7" w:rsidRPr="00055BC0" w14:paraId="49FDC515" w14:textId="77777777" w:rsidTr="00C25F84">
        <w:tc>
          <w:tcPr>
            <w:tcW w:w="4576" w:type="dxa"/>
          </w:tcPr>
          <w:p w14:paraId="0994A76E" w14:textId="77777777" w:rsidR="008E3BA7" w:rsidRPr="00BF7956" w:rsidRDefault="008E3BA7" w:rsidP="008E3BA7">
            <w:pPr>
              <w:pStyle w:val="CM4"/>
              <w:spacing w:before="60" w:after="60"/>
              <w:rPr>
                <w:color w:val="000000"/>
                <w:sz w:val="20"/>
                <w:szCs w:val="20"/>
              </w:rPr>
            </w:pPr>
            <w:r w:rsidRPr="00BF7956">
              <w:rPr>
                <w:i/>
                <w:iCs/>
                <w:color w:val="000000"/>
                <w:sz w:val="20"/>
                <w:szCs w:val="20"/>
              </w:rPr>
              <w:t xml:space="preserve">ANEXA XXVII </w:t>
            </w:r>
          </w:p>
          <w:p w14:paraId="4BB27A7F" w14:textId="26E7EA19" w:rsidR="008E3BA7" w:rsidRPr="00BF7956" w:rsidRDefault="008E3BA7" w:rsidP="008E3BA7">
            <w:pPr>
              <w:pStyle w:val="CM4"/>
              <w:spacing w:before="60" w:after="60"/>
              <w:rPr>
                <w:i/>
                <w:iCs/>
                <w:color w:val="000000"/>
                <w:sz w:val="20"/>
                <w:szCs w:val="20"/>
              </w:rPr>
            </w:pPr>
            <w:r w:rsidRPr="00BF7956">
              <w:rPr>
                <w:b/>
                <w:bCs/>
                <w:color w:val="000000"/>
                <w:sz w:val="20"/>
                <w:szCs w:val="20"/>
              </w:rPr>
              <w:t>INSTRUCŢIUNI DE RAPORTARE ÎN SCOPUL IDENTIFICĂRII ȘI AL ATRIBUIRII RATELOR AMORTIZORULUI G-SII</w:t>
            </w:r>
          </w:p>
        </w:tc>
        <w:tc>
          <w:tcPr>
            <w:tcW w:w="4536" w:type="dxa"/>
            <w:shd w:val="clear" w:color="auto" w:fill="auto"/>
          </w:tcPr>
          <w:p w14:paraId="1912437D"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6CB3D4B8" w14:textId="0D923D99" w:rsidR="008E3BA7" w:rsidRPr="00BF7956" w:rsidRDefault="008E3BA7" w:rsidP="008E3BA7">
            <w:pPr>
              <w:rPr>
                <w:b/>
                <w:strike/>
                <w:sz w:val="20"/>
                <w:szCs w:val="20"/>
                <w:lang w:val="ro-RO"/>
              </w:rPr>
            </w:pPr>
            <w:r w:rsidRPr="00BF7956">
              <w:rPr>
                <w:sz w:val="20"/>
                <w:szCs w:val="20"/>
                <w:lang w:val="ro-RO"/>
              </w:rPr>
              <w:t>Nu se transpune în prezentul proiect</w:t>
            </w:r>
          </w:p>
        </w:tc>
        <w:tc>
          <w:tcPr>
            <w:tcW w:w="2223" w:type="dxa"/>
          </w:tcPr>
          <w:p w14:paraId="49F48D88"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45E66975" w14:textId="77777777" w:rsidR="008E3BA7" w:rsidRPr="00BF7956" w:rsidRDefault="008E3BA7" w:rsidP="008E3BA7">
            <w:pPr>
              <w:jc w:val="both"/>
              <w:rPr>
                <w:sz w:val="20"/>
                <w:szCs w:val="20"/>
                <w:lang w:val="ro-RO"/>
              </w:rPr>
            </w:pPr>
          </w:p>
        </w:tc>
        <w:tc>
          <w:tcPr>
            <w:tcW w:w="992" w:type="dxa"/>
          </w:tcPr>
          <w:p w14:paraId="3368792F" w14:textId="77777777" w:rsidR="008E3BA7" w:rsidRPr="00BF7956" w:rsidRDefault="008E3BA7" w:rsidP="008E3BA7">
            <w:pPr>
              <w:jc w:val="both"/>
              <w:rPr>
                <w:sz w:val="20"/>
                <w:szCs w:val="20"/>
                <w:lang w:val="ro-RO"/>
              </w:rPr>
            </w:pPr>
          </w:p>
        </w:tc>
      </w:tr>
      <w:tr w:rsidR="008E3BA7" w:rsidRPr="00055BC0" w14:paraId="2C934377" w14:textId="77777777" w:rsidTr="00C25F84">
        <w:tc>
          <w:tcPr>
            <w:tcW w:w="4576" w:type="dxa"/>
          </w:tcPr>
          <w:p w14:paraId="02FF0BAB" w14:textId="77777777" w:rsidR="008E3BA7" w:rsidRPr="00BF7956" w:rsidRDefault="008E3BA7" w:rsidP="008E3BA7">
            <w:pPr>
              <w:pStyle w:val="CM4"/>
              <w:spacing w:before="60" w:after="60"/>
              <w:rPr>
                <w:i/>
                <w:iCs/>
                <w:color w:val="000000"/>
                <w:sz w:val="20"/>
                <w:szCs w:val="20"/>
              </w:rPr>
            </w:pPr>
          </w:p>
        </w:tc>
        <w:tc>
          <w:tcPr>
            <w:tcW w:w="4536" w:type="dxa"/>
            <w:shd w:val="clear" w:color="auto" w:fill="auto"/>
          </w:tcPr>
          <w:p w14:paraId="0D6F48B6" w14:textId="77777777" w:rsidR="008E3BA7" w:rsidRPr="00BF7956" w:rsidRDefault="008E3BA7" w:rsidP="008E3BA7">
            <w:pPr>
              <w:autoSpaceDE w:val="0"/>
              <w:autoSpaceDN w:val="0"/>
              <w:adjustRightInd w:val="0"/>
              <w:spacing w:before="60" w:after="60"/>
              <w:jc w:val="center"/>
              <w:rPr>
                <w:color w:val="000000"/>
                <w:sz w:val="20"/>
                <w:szCs w:val="20"/>
                <w:lang w:val="ro-RO"/>
              </w:rPr>
            </w:pPr>
          </w:p>
        </w:tc>
        <w:tc>
          <w:tcPr>
            <w:tcW w:w="1418" w:type="dxa"/>
          </w:tcPr>
          <w:p w14:paraId="01451A55" w14:textId="77777777" w:rsidR="008E3BA7" w:rsidRPr="00BF7956" w:rsidRDefault="008E3BA7" w:rsidP="008E3BA7">
            <w:pPr>
              <w:jc w:val="both"/>
              <w:rPr>
                <w:b/>
                <w:strike/>
                <w:sz w:val="20"/>
                <w:szCs w:val="20"/>
                <w:lang w:val="ro-RO"/>
              </w:rPr>
            </w:pPr>
          </w:p>
        </w:tc>
        <w:tc>
          <w:tcPr>
            <w:tcW w:w="2223" w:type="dxa"/>
          </w:tcPr>
          <w:p w14:paraId="530FD970" w14:textId="77777777" w:rsidR="008E3BA7" w:rsidRPr="00BF7956" w:rsidRDefault="008E3BA7" w:rsidP="008E3BA7">
            <w:pPr>
              <w:jc w:val="both"/>
              <w:rPr>
                <w:sz w:val="20"/>
                <w:szCs w:val="20"/>
                <w:lang w:val="ro-RO"/>
              </w:rPr>
            </w:pPr>
          </w:p>
        </w:tc>
        <w:tc>
          <w:tcPr>
            <w:tcW w:w="1134" w:type="dxa"/>
            <w:tcBorders>
              <w:top w:val="single" w:sz="4" w:space="0" w:color="auto"/>
              <w:bottom w:val="single" w:sz="4" w:space="0" w:color="auto"/>
            </w:tcBorders>
          </w:tcPr>
          <w:p w14:paraId="22157E20" w14:textId="77777777" w:rsidR="008E3BA7" w:rsidRPr="00BF7956" w:rsidRDefault="008E3BA7" w:rsidP="008E3BA7">
            <w:pPr>
              <w:jc w:val="both"/>
              <w:rPr>
                <w:sz w:val="20"/>
                <w:szCs w:val="20"/>
                <w:lang w:val="ro-RO"/>
              </w:rPr>
            </w:pPr>
          </w:p>
        </w:tc>
        <w:tc>
          <w:tcPr>
            <w:tcW w:w="992" w:type="dxa"/>
            <w:tcBorders>
              <w:bottom w:val="single" w:sz="4" w:space="0" w:color="auto"/>
            </w:tcBorders>
          </w:tcPr>
          <w:p w14:paraId="2D9447CD" w14:textId="77777777" w:rsidR="008E3BA7" w:rsidRPr="00BF7956" w:rsidRDefault="008E3BA7" w:rsidP="008E3BA7">
            <w:pPr>
              <w:jc w:val="both"/>
              <w:rPr>
                <w:sz w:val="20"/>
                <w:szCs w:val="20"/>
                <w:lang w:val="ro-RO"/>
              </w:rPr>
            </w:pPr>
          </w:p>
        </w:tc>
      </w:tr>
    </w:tbl>
    <w:p w14:paraId="0CB81816" w14:textId="77777777" w:rsidR="00BB098E" w:rsidRPr="00BF7956" w:rsidRDefault="00BB098E" w:rsidP="00BB098E">
      <w:pPr>
        <w:jc w:val="both"/>
        <w:rPr>
          <w:b/>
          <w:bCs/>
          <w:sz w:val="20"/>
          <w:szCs w:val="20"/>
          <w:lang w:val="ro-RO"/>
        </w:rPr>
      </w:pPr>
    </w:p>
    <w:p w14:paraId="4C2C0E7A" w14:textId="77777777" w:rsidR="00814733" w:rsidRPr="00BF7956" w:rsidRDefault="00814733" w:rsidP="00BB098E">
      <w:pPr>
        <w:jc w:val="both"/>
        <w:rPr>
          <w:b/>
          <w:bCs/>
          <w:sz w:val="20"/>
          <w:szCs w:val="20"/>
          <w:lang w:val="ro-RO"/>
        </w:rPr>
      </w:pPr>
    </w:p>
    <w:p w14:paraId="537B1E0C" w14:textId="77777777" w:rsidR="00B258E4" w:rsidRPr="00BF7956" w:rsidRDefault="00B258E4" w:rsidP="00BB098E">
      <w:pPr>
        <w:jc w:val="both"/>
        <w:rPr>
          <w:b/>
          <w:bCs/>
          <w:sz w:val="20"/>
          <w:szCs w:val="20"/>
          <w:lang w:val="ro-RO"/>
        </w:rPr>
      </w:pPr>
    </w:p>
    <w:p w14:paraId="0B2B7DEC" w14:textId="77777777" w:rsidR="00A45D08" w:rsidRPr="00BF7956" w:rsidRDefault="00A45D08" w:rsidP="00BB098E">
      <w:pPr>
        <w:jc w:val="both"/>
        <w:rPr>
          <w:b/>
          <w:bCs/>
          <w:sz w:val="20"/>
          <w:szCs w:val="20"/>
          <w:lang w:val="ro-RO"/>
        </w:rPr>
      </w:pPr>
    </w:p>
    <w:p w14:paraId="79BC0293" w14:textId="77777777" w:rsidR="00365813" w:rsidRPr="00BF7956" w:rsidRDefault="00365813" w:rsidP="00BB098E">
      <w:pPr>
        <w:jc w:val="both"/>
        <w:rPr>
          <w:b/>
          <w:bCs/>
          <w:sz w:val="20"/>
          <w:szCs w:val="20"/>
          <w:lang w:val="ro-RO"/>
        </w:rPr>
      </w:pPr>
    </w:p>
    <w:p w14:paraId="0AA2FAF6" w14:textId="77777777" w:rsidR="00280308" w:rsidRPr="00BF7956" w:rsidRDefault="00280308" w:rsidP="00BB098E">
      <w:pPr>
        <w:jc w:val="both"/>
        <w:rPr>
          <w:b/>
          <w:bCs/>
          <w:sz w:val="20"/>
          <w:szCs w:val="20"/>
          <w:lang w:val="ro-RO"/>
        </w:rPr>
      </w:pPr>
    </w:p>
    <w:p w14:paraId="3FDE11F3" w14:textId="77777777" w:rsidR="00280308" w:rsidRPr="00BF7956" w:rsidRDefault="00280308" w:rsidP="00BB098E">
      <w:pPr>
        <w:jc w:val="both"/>
        <w:rPr>
          <w:b/>
          <w:bCs/>
          <w:sz w:val="20"/>
          <w:szCs w:val="20"/>
          <w:lang w:val="ro-RO"/>
        </w:rPr>
      </w:pPr>
    </w:p>
    <w:p w14:paraId="17695121" w14:textId="77777777" w:rsidR="006B4614" w:rsidRPr="00BF7956" w:rsidRDefault="006B4614" w:rsidP="00BB098E">
      <w:pPr>
        <w:jc w:val="both"/>
        <w:rPr>
          <w:b/>
          <w:bCs/>
          <w:sz w:val="20"/>
          <w:szCs w:val="20"/>
          <w:lang w:val="ro-RO"/>
        </w:rPr>
      </w:pPr>
    </w:p>
    <w:p w14:paraId="0D80B24D" w14:textId="77777777" w:rsidR="00BB098E" w:rsidRPr="00BF7956" w:rsidRDefault="00BB098E" w:rsidP="00BB098E">
      <w:pPr>
        <w:jc w:val="both"/>
        <w:rPr>
          <w:vanish/>
          <w:sz w:val="20"/>
          <w:szCs w:val="20"/>
          <w:lang w:val="ro-RO"/>
        </w:rPr>
      </w:pPr>
    </w:p>
    <w:p w14:paraId="102A3C70" w14:textId="77777777" w:rsidR="000E63EA" w:rsidRPr="00BF7956" w:rsidRDefault="000E63EA">
      <w:pPr>
        <w:rPr>
          <w:sz w:val="20"/>
          <w:szCs w:val="20"/>
          <w:lang w:val="it-IT"/>
        </w:rPr>
      </w:pPr>
    </w:p>
    <w:sectPr w:rsidR="000E63EA" w:rsidRPr="00BF7956" w:rsidSect="00BB098E">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D8E6F" w14:textId="77777777" w:rsidR="008F67FC" w:rsidRDefault="008F67FC" w:rsidP="00BB098E">
      <w:r>
        <w:separator/>
      </w:r>
    </w:p>
  </w:endnote>
  <w:endnote w:type="continuationSeparator" w:id="0">
    <w:p w14:paraId="5260488E" w14:textId="77777777" w:rsidR="008F67FC" w:rsidRDefault="008F67FC" w:rsidP="00BB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CEAD" w14:textId="21927B96" w:rsidR="00BB098E" w:rsidRPr="00C25F84" w:rsidRDefault="00BB098E" w:rsidP="00410ADE">
    <w:pPr>
      <w:pStyle w:val="Footer"/>
      <w:jc w:val="center"/>
      <w:rPr>
        <w:b/>
        <w:bCs/>
        <w:lang w:val="it-I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DF39" w14:textId="5A79010A" w:rsidR="00BB098E" w:rsidRPr="00C25F84" w:rsidRDefault="00BB098E" w:rsidP="00410ADE">
    <w:pPr>
      <w:pStyle w:val="Footer"/>
      <w:jc w:val="center"/>
      <w:rPr>
        <w:b/>
        <w:bCs/>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76FC" w14:textId="77777777" w:rsidR="00410ADE" w:rsidRDefault="00410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E5389" w14:textId="77777777" w:rsidR="008F67FC" w:rsidRDefault="008F67FC" w:rsidP="00BB098E">
      <w:r>
        <w:separator/>
      </w:r>
    </w:p>
  </w:footnote>
  <w:footnote w:type="continuationSeparator" w:id="0">
    <w:p w14:paraId="034FE64E" w14:textId="77777777" w:rsidR="008F67FC" w:rsidRDefault="008F67FC" w:rsidP="00BB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CA2B" w14:textId="5E416DBA" w:rsidR="00BB098E" w:rsidRPr="00C25F84" w:rsidRDefault="00BB098E" w:rsidP="00410ADE">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F395" w14:textId="1B08DEE2" w:rsidR="00BB098E" w:rsidRPr="00C25F84" w:rsidRDefault="00BB098E" w:rsidP="00410ADE">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9E7E" w14:textId="77777777" w:rsidR="00410ADE" w:rsidRDefault="00410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01DF"/>
    <w:multiLevelType w:val="multilevel"/>
    <w:tmpl w:val="FEB4FB7A"/>
    <w:lvl w:ilvl="0">
      <w:start w:val="1"/>
      <w:numFmt w:val="decimal"/>
      <w:lvlText w:val="%1."/>
      <w:lvlJc w:val="left"/>
      <w:pPr>
        <w:ind w:left="720" w:hanging="360"/>
      </w:pPr>
      <w:rPr>
        <w:rFonts w:ascii="Times New Roman" w:eastAsia="Arial Unicode MS" w:hAnsi="Times New Roman" w:cs="Times New Roman" w:hint="default"/>
        <w:color w:val="000000"/>
        <w:sz w:val="20"/>
        <w:szCs w:val="20"/>
      </w:rPr>
    </w:lvl>
    <w:lvl w:ilvl="1">
      <w:start w:val="1"/>
      <w:numFmt w:val="decimal"/>
      <w:isLgl/>
      <w:lvlText w:val="%1.%2"/>
      <w:lvlJc w:val="left"/>
      <w:pPr>
        <w:ind w:left="810" w:hanging="450"/>
      </w:pPr>
      <w:rPr>
        <w:rFonts w:hint="default"/>
        <w:b w:val="0"/>
      </w:rPr>
    </w:lvl>
    <w:lvl w:ilvl="2">
      <w:start w:val="3"/>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B4952AD"/>
    <w:multiLevelType w:val="multilevel"/>
    <w:tmpl w:val="E3B2CD5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2CEC15CA"/>
    <w:multiLevelType w:val="multilevel"/>
    <w:tmpl w:val="42145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5D235F"/>
    <w:multiLevelType w:val="hybridMultilevel"/>
    <w:tmpl w:val="E1C033F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63E87CD5"/>
    <w:multiLevelType w:val="multilevel"/>
    <w:tmpl w:val="6D0CBE2E"/>
    <w:lvl w:ilvl="0">
      <w:start w:val="1"/>
      <w:numFmt w:val="decimal"/>
      <w:lvlText w:val="%1"/>
      <w:lvlJc w:val="left"/>
      <w:pPr>
        <w:ind w:left="360" w:hanging="360"/>
      </w:pPr>
      <w:rPr>
        <w:rFonts w:hint="default"/>
        <w:b w:val="0"/>
      </w:rPr>
    </w:lvl>
    <w:lvl w:ilvl="1">
      <w:start w:val="1"/>
      <w:numFmt w:val="decimal"/>
      <w:lvlText w:val="%1.%2"/>
      <w:lvlJc w:val="left"/>
      <w:pPr>
        <w:ind w:left="2344"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BC"/>
    <w:rsid w:val="000060E2"/>
    <w:rsid w:val="00012863"/>
    <w:rsid w:val="0001603C"/>
    <w:rsid w:val="00040F5D"/>
    <w:rsid w:val="00044317"/>
    <w:rsid w:val="00055BA8"/>
    <w:rsid w:val="00055BC0"/>
    <w:rsid w:val="00057FDB"/>
    <w:rsid w:val="000737AA"/>
    <w:rsid w:val="0007403C"/>
    <w:rsid w:val="000740EA"/>
    <w:rsid w:val="00084E79"/>
    <w:rsid w:val="00087024"/>
    <w:rsid w:val="00090F90"/>
    <w:rsid w:val="00093467"/>
    <w:rsid w:val="00097BD0"/>
    <w:rsid w:val="000A0BB3"/>
    <w:rsid w:val="000A5151"/>
    <w:rsid w:val="000B0BF9"/>
    <w:rsid w:val="000B32B6"/>
    <w:rsid w:val="000D4D0F"/>
    <w:rsid w:val="000E5FE3"/>
    <w:rsid w:val="000E63EA"/>
    <w:rsid w:val="00101940"/>
    <w:rsid w:val="00105749"/>
    <w:rsid w:val="00111925"/>
    <w:rsid w:val="00117FAE"/>
    <w:rsid w:val="00121113"/>
    <w:rsid w:val="00125C20"/>
    <w:rsid w:val="0013092B"/>
    <w:rsid w:val="0013796F"/>
    <w:rsid w:val="001429F8"/>
    <w:rsid w:val="001460F6"/>
    <w:rsid w:val="00146E5B"/>
    <w:rsid w:val="00164685"/>
    <w:rsid w:val="0018658C"/>
    <w:rsid w:val="00186E25"/>
    <w:rsid w:val="001B54D6"/>
    <w:rsid w:val="001B6CE0"/>
    <w:rsid w:val="001C02CA"/>
    <w:rsid w:val="001C7B48"/>
    <w:rsid w:val="001D3100"/>
    <w:rsid w:val="001D7783"/>
    <w:rsid w:val="001F6B2A"/>
    <w:rsid w:val="0021254F"/>
    <w:rsid w:val="0023261C"/>
    <w:rsid w:val="00244752"/>
    <w:rsid w:val="00250767"/>
    <w:rsid w:val="00252575"/>
    <w:rsid w:val="0025464F"/>
    <w:rsid w:val="002605C4"/>
    <w:rsid w:val="00262BB7"/>
    <w:rsid w:val="00263C0E"/>
    <w:rsid w:val="002710E8"/>
    <w:rsid w:val="00274377"/>
    <w:rsid w:val="00280308"/>
    <w:rsid w:val="002A0233"/>
    <w:rsid w:val="002A7538"/>
    <w:rsid w:val="002A791B"/>
    <w:rsid w:val="002B0ECD"/>
    <w:rsid w:val="002B12FE"/>
    <w:rsid w:val="002B7DC3"/>
    <w:rsid w:val="002C3E80"/>
    <w:rsid w:val="002C43F1"/>
    <w:rsid w:val="002C4AC2"/>
    <w:rsid w:val="002C4CB1"/>
    <w:rsid w:val="002D4A81"/>
    <w:rsid w:val="002E0F83"/>
    <w:rsid w:val="002F573E"/>
    <w:rsid w:val="00304C50"/>
    <w:rsid w:val="00311D29"/>
    <w:rsid w:val="003169EA"/>
    <w:rsid w:val="0035639D"/>
    <w:rsid w:val="00365813"/>
    <w:rsid w:val="003703C2"/>
    <w:rsid w:val="00391B43"/>
    <w:rsid w:val="00396879"/>
    <w:rsid w:val="003A668C"/>
    <w:rsid w:val="003B122D"/>
    <w:rsid w:val="003C6910"/>
    <w:rsid w:val="003D384F"/>
    <w:rsid w:val="003D5221"/>
    <w:rsid w:val="003F29DC"/>
    <w:rsid w:val="00402588"/>
    <w:rsid w:val="0040350B"/>
    <w:rsid w:val="00410ADE"/>
    <w:rsid w:val="00433958"/>
    <w:rsid w:val="004352A6"/>
    <w:rsid w:val="0044161D"/>
    <w:rsid w:val="0044389D"/>
    <w:rsid w:val="004448B8"/>
    <w:rsid w:val="0045087B"/>
    <w:rsid w:val="00453A7A"/>
    <w:rsid w:val="00472233"/>
    <w:rsid w:val="004730CC"/>
    <w:rsid w:val="004739D6"/>
    <w:rsid w:val="004A7010"/>
    <w:rsid w:val="004B6724"/>
    <w:rsid w:val="004D2ABD"/>
    <w:rsid w:val="004D5C27"/>
    <w:rsid w:val="004D5C50"/>
    <w:rsid w:val="004E1C76"/>
    <w:rsid w:val="004E39BC"/>
    <w:rsid w:val="004E5679"/>
    <w:rsid w:val="004F0BE0"/>
    <w:rsid w:val="004F7087"/>
    <w:rsid w:val="00507437"/>
    <w:rsid w:val="0051368E"/>
    <w:rsid w:val="00537128"/>
    <w:rsid w:val="00556052"/>
    <w:rsid w:val="00570E9A"/>
    <w:rsid w:val="00577F07"/>
    <w:rsid w:val="00586793"/>
    <w:rsid w:val="005942B1"/>
    <w:rsid w:val="005A2EF3"/>
    <w:rsid w:val="005A7E25"/>
    <w:rsid w:val="005B0848"/>
    <w:rsid w:val="005B4BE1"/>
    <w:rsid w:val="005B7E3E"/>
    <w:rsid w:val="005C1A55"/>
    <w:rsid w:val="005C79BC"/>
    <w:rsid w:val="005D07E6"/>
    <w:rsid w:val="005D311B"/>
    <w:rsid w:val="005F1E73"/>
    <w:rsid w:val="005F4D8D"/>
    <w:rsid w:val="005F6EFC"/>
    <w:rsid w:val="00607F9A"/>
    <w:rsid w:val="00612B69"/>
    <w:rsid w:val="00612E64"/>
    <w:rsid w:val="00620974"/>
    <w:rsid w:val="0063006C"/>
    <w:rsid w:val="00632DBC"/>
    <w:rsid w:val="006356BE"/>
    <w:rsid w:val="0063783F"/>
    <w:rsid w:val="00637BB6"/>
    <w:rsid w:val="0065738E"/>
    <w:rsid w:val="00664802"/>
    <w:rsid w:val="006844A0"/>
    <w:rsid w:val="006A0776"/>
    <w:rsid w:val="006A267D"/>
    <w:rsid w:val="006B4614"/>
    <w:rsid w:val="006C4713"/>
    <w:rsid w:val="006D29EE"/>
    <w:rsid w:val="006D4931"/>
    <w:rsid w:val="006F7D3F"/>
    <w:rsid w:val="00702735"/>
    <w:rsid w:val="00702C6E"/>
    <w:rsid w:val="0070362F"/>
    <w:rsid w:val="0073123E"/>
    <w:rsid w:val="00745CB0"/>
    <w:rsid w:val="007526B8"/>
    <w:rsid w:val="00757213"/>
    <w:rsid w:val="00760470"/>
    <w:rsid w:val="00766124"/>
    <w:rsid w:val="007666A8"/>
    <w:rsid w:val="00785C39"/>
    <w:rsid w:val="007900C5"/>
    <w:rsid w:val="007A1E46"/>
    <w:rsid w:val="007B06BA"/>
    <w:rsid w:val="007B63F5"/>
    <w:rsid w:val="007B697C"/>
    <w:rsid w:val="007E38B8"/>
    <w:rsid w:val="007E62BC"/>
    <w:rsid w:val="007F6058"/>
    <w:rsid w:val="0080425A"/>
    <w:rsid w:val="00806D35"/>
    <w:rsid w:val="00813B88"/>
    <w:rsid w:val="00814733"/>
    <w:rsid w:val="00817FE6"/>
    <w:rsid w:val="008226B8"/>
    <w:rsid w:val="00830F8A"/>
    <w:rsid w:val="0083242F"/>
    <w:rsid w:val="00832C06"/>
    <w:rsid w:val="008507D9"/>
    <w:rsid w:val="00850E4E"/>
    <w:rsid w:val="008640BC"/>
    <w:rsid w:val="008804F4"/>
    <w:rsid w:val="00891A17"/>
    <w:rsid w:val="008937C3"/>
    <w:rsid w:val="008A5FBB"/>
    <w:rsid w:val="008A6E7E"/>
    <w:rsid w:val="008C5A3F"/>
    <w:rsid w:val="008C6E5D"/>
    <w:rsid w:val="008E3BA7"/>
    <w:rsid w:val="008E4537"/>
    <w:rsid w:val="008F32D1"/>
    <w:rsid w:val="008F566B"/>
    <w:rsid w:val="008F67FC"/>
    <w:rsid w:val="00913ECC"/>
    <w:rsid w:val="00943D6C"/>
    <w:rsid w:val="009455FC"/>
    <w:rsid w:val="00976A0D"/>
    <w:rsid w:val="00991692"/>
    <w:rsid w:val="009B1021"/>
    <w:rsid w:val="009B166C"/>
    <w:rsid w:val="009E045F"/>
    <w:rsid w:val="009F2184"/>
    <w:rsid w:val="009F42F6"/>
    <w:rsid w:val="00A130C9"/>
    <w:rsid w:val="00A205B4"/>
    <w:rsid w:val="00A21CF7"/>
    <w:rsid w:val="00A22CD9"/>
    <w:rsid w:val="00A262A5"/>
    <w:rsid w:val="00A45D08"/>
    <w:rsid w:val="00A6580C"/>
    <w:rsid w:val="00A66825"/>
    <w:rsid w:val="00A751FC"/>
    <w:rsid w:val="00A767CA"/>
    <w:rsid w:val="00A779F2"/>
    <w:rsid w:val="00A832D0"/>
    <w:rsid w:val="00A83CBC"/>
    <w:rsid w:val="00A8467C"/>
    <w:rsid w:val="00A9484F"/>
    <w:rsid w:val="00AA4341"/>
    <w:rsid w:val="00AA788D"/>
    <w:rsid w:val="00AC2909"/>
    <w:rsid w:val="00AC5CE3"/>
    <w:rsid w:val="00AD4FAB"/>
    <w:rsid w:val="00AD6BBC"/>
    <w:rsid w:val="00AD7D4E"/>
    <w:rsid w:val="00AF234D"/>
    <w:rsid w:val="00B07A87"/>
    <w:rsid w:val="00B1148F"/>
    <w:rsid w:val="00B12834"/>
    <w:rsid w:val="00B258E4"/>
    <w:rsid w:val="00B2799B"/>
    <w:rsid w:val="00B30D7D"/>
    <w:rsid w:val="00B30DDC"/>
    <w:rsid w:val="00B42DBC"/>
    <w:rsid w:val="00B5005B"/>
    <w:rsid w:val="00B50921"/>
    <w:rsid w:val="00B50C85"/>
    <w:rsid w:val="00B67D38"/>
    <w:rsid w:val="00B73953"/>
    <w:rsid w:val="00B80E08"/>
    <w:rsid w:val="00B96BDC"/>
    <w:rsid w:val="00BA520E"/>
    <w:rsid w:val="00BA735E"/>
    <w:rsid w:val="00BB098E"/>
    <w:rsid w:val="00BB2562"/>
    <w:rsid w:val="00BB5D62"/>
    <w:rsid w:val="00BB76F9"/>
    <w:rsid w:val="00BD0081"/>
    <w:rsid w:val="00BE26C3"/>
    <w:rsid w:val="00BE3E94"/>
    <w:rsid w:val="00BF3EDC"/>
    <w:rsid w:val="00BF7956"/>
    <w:rsid w:val="00C0357A"/>
    <w:rsid w:val="00C15FEC"/>
    <w:rsid w:val="00C247E2"/>
    <w:rsid w:val="00C25F84"/>
    <w:rsid w:val="00C328DF"/>
    <w:rsid w:val="00C41A1A"/>
    <w:rsid w:val="00C55BE6"/>
    <w:rsid w:val="00C60E5F"/>
    <w:rsid w:val="00C7135D"/>
    <w:rsid w:val="00C745CC"/>
    <w:rsid w:val="00C9264A"/>
    <w:rsid w:val="00CA346B"/>
    <w:rsid w:val="00CC3AC7"/>
    <w:rsid w:val="00CC606A"/>
    <w:rsid w:val="00CC6818"/>
    <w:rsid w:val="00CE1B5C"/>
    <w:rsid w:val="00D049A6"/>
    <w:rsid w:val="00D1497C"/>
    <w:rsid w:val="00D201DF"/>
    <w:rsid w:val="00D22473"/>
    <w:rsid w:val="00D373C6"/>
    <w:rsid w:val="00D474E1"/>
    <w:rsid w:val="00D55586"/>
    <w:rsid w:val="00D60CE4"/>
    <w:rsid w:val="00DB788A"/>
    <w:rsid w:val="00DC0925"/>
    <w:rsid w:val="00DD039B"/>
    <w:rsid w:val="00DD2D3A"/>
    <w:rsid w:val="00DE4334"/>
    <w:rsid w:val="00DF422A"/>
    <w:rsid w:val="00DF6218"/>
    <w:rsid w:val="00E03878"/>
    <w:rsid w:val="00E10A9C"/>
    <w:rsid w:val="00E13D08"/>
    <w:rsid w:val="00E215C4"/>
    <w:rsid w:val="00E33C67"/>
    <w:rsid w:val="00E3698C"/>
    <w:rsid w:val="00E36BAC"/>
    <w:rsid w:val="00E445EF"/>
    <w:rsid w:val="00E5285D"/>
    <w:rsid w:val="00E5790F"/>
    <w:rsid w:val="00E6019F"/>
    <w:rsid w:val="00E61CCB"/>
    <w:rsid w:val="00E62F3B"/>
    <w:rsid w:val="00E71372"/>
    <w:rsid w:val="00E72B96"/>
    <w:rsid w:val="00E72BD1"/>
    <w:rsid w:val="00E75EB4"/>
    <w:rsid w:val="00E80B84"/>
    <w:rsid w:val="00EA4BAC"/>
    <w:rsid w:val="00EB31BE"/>
    <w:rsid w:val="00EB5DC6"/>
    <w:rsid w:val="00ED06A5"/>
    <w:rsid w:val="00ED593E"/>
    <w:rsid w:val="00ED7E59"/>
    <w:rsid w:val="00EE0F81"/>
    <w:rsid w:val="00EE7F5F"/>
    <w:rsid w:val="00EF26EB"/>
    <w:rsid w:val="00EF49B2"/>
    <w:rsid w:val="00F10603"/>
    <w:rsid w:val="00F24481"/>
    <w:rsid w:val="00F30843"/>
    <w:rsid w:val="00F35089"/>
    <w:rsid w:val="00F40F2E"/>
    <w:rsid w:val="00F55715"/>
    <w:rsid w:val="00F57061"/>
    <w:rsid w:val="00F7376D"/>
    <w:rsid w:val="00F83BBB"/>
    <w:rsid w:val="00FA0637"/>
    <w:rsid w:val="00FA4EFF"/>
    <w:rsid w:val="00FB1397"/>
    <w:rsid w:val="00FB24C8"/>
    <w:rsid w:val="00FC069F"/>
    <w:rsid w:val="00FC6D2C"/>
    <w:rsid w:val="00FD4277"/>
    <w:rsid w:val="00FD505D"/>
    <w:rsid w:val="00FD71E9"/>
    <w:rsid w:val="00FF1277"/>
    <w:rsid w:val="00FF510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EABB"/>
  <w15:chartTrackingRefBased/>
  <w15:docId w15:val="{54A26AA3-9FB5-4145-90A4-9F494A2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A0"/>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98E"/>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BB098E"/>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BB098E"/>
    <w:rPr>
      <w:rFonts w:ascii="Times New Roman" w:eastAsia="Times New Roman" w:hAnsi="Times New Roman" w:cs="Times New Roman"/>
      <w:kern w:val="0"/>
      <w:sz w:val="28"/>
      <w:szCs w:val="28"/>
      <w:lang w:val="ru-RU"/>
      <w14:ligatures w14:val="none"/>
    </w:rPr>
  </w:style>
  <w:style w:type="paragraph" w:styleId="ListParagraph">
    <w:name w:val="List Paragraph"/>
    <w:basedOn w:val="Normal"/>
    <w:uiPriority w:val="34"/>
    <w:qFormat/>
    <w:rsid w:val="00BB098E"/>
    <w:pPr>
      <w:ind w:left="720"/>
      <w:contextualSpacing/>
    </w:pPr>
  </w:style>
  <w:style w:type="paragraph" w:styleId="PlainText">
    <w:name w:val="Plain Text"/>
    <w:basedOn w:val="Normal"/>
    <w:link w:val="PlainTextChar"/>
    <w:rsid w:val="00BB098E"/>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BB098E"/>
    <w:rPr>
      <w:rFonts w:ascii="Courier New" w:eastAsia="Times New Roman" w:hAnsi="Courier New" w:cs="Courier New"/>
      <w:kern w:val="0"/>
      <w:sz w:val="20"/>
      <w:szCs w:val="20"/>
      <w:lang w:val="en-US"/>
      <w14:ligatures w14:val="none"/>
    </w:rPr>
  </w:style>
  <w:style w:type="paragraph" w:styleId="Header">
    <w:name w:val="header"/>
    <w:basedOn w:val="Normal"/>
    <w:link w:val="HeaderChar"/>
    <w:uiPriority w:val="99"/>
    <w:unhideWhenUsed/>
    <w:rsid w:val="00BB098E"/>
    <w:pPr>
      <w:tabs>
        <w:tab w:val="center" w:pos="4677"/>
        <w:tab w:val="right" w:pos="9355"/>
      </w:tabs>
    </w:pPr>
  </w:style>
  <w:style w:type="character" w:customStyle="1" w:styleId="HeaderChar">
    <w:name w:val="Header Char"/>
    <w:basedOn w:val="DefaultParagraphFont"/>
    <w:link w:val="Header"/>
    <w:uiPriority w:val="99"/>
    <w:rsid w:val="00BB098E"/>
    <w:rPr>
      <w:rFonts w:ascii="Times New Roman" w:eastAsia="Times New Roman" w:hAnsi="Times New Roman" w:cs="Times New Roman"/>
      <w:kern w:val="0"/>
      <w:sz w:val="24"/>
      <w:szCs w:val="24"/>
      <w:lang w:val="ru-RU" w:eastAsia="ru-RU"/>
      <w14:ligatures w14:val="none"/>
    </w:rPr>
  </w:style>
  <w:style w:type="paragraph" w:styleId="Footer">
    <w:name w:val="footer"/>
    <w:basedOn w:val="Normal"/>
    <w:link w:val="FooterChar"/>
    <w:uiPriority w:val="99"/>
    <w:unhideWhenUsed/>
    <w:rsid w:val="00BB098E"/>
    <w:pPr>
      <w:tabs>
        <w:tab w:val="center" w:pos="4677"/>
        <w:tab w:val="right" w:pos="9355"/>
      </w:tabs>
    </w:pPr>
  </w:style>
  <w:style w:type="character" w:customStyle="1" w:styleId="FooterChar">
    <w:name w:val="Footer Char"/>
    <w:basedOn w:val="DefaultParagraphFont"/>
    <w:link w:val="Footer"/>
    <w:uiPriority w:val="99"/>
    <w:rsid w:val="00BB098E"/>
    <w:rPr>
      <w:rFonts w:ascii="Times New Roman" w:eastAsia="Times New Roman" w:hAnsi="Times New Roman" w:cs="Times New Roman"/>
      <w:kern w:val="0"/>
      <w:sz w:val="24"/>
      <w:szCs w:val="24"/>
      <w:lang w:val="ru-RU" w:eastAsia="ru-RU"/>
      <w14:ligatures w14:val="none"/>
    </w:rPr>
  </w:style>
  <w:style w:type="paragraph" w:customStyle="1" w:styleId="CM1">
    <w:name w:val="CM1"/>
    <w:basedOn w:val="Normal"/>
    <w:next w:val="Normal"/>
    <w:uiPriority w:val="99"/>
    <w:rsid w:val="006B4614"/>
    <w:pPr>
      <w:autoSpaceDE w:val="0"/>
      <w:autoSpaceDN w:val="0"/>
      <w:adjustRightInd w:val="0"/>
    </w:pPr>
    <w:rPr>
      <w:rFonts w:eastAsiaTheme="minorHAnsi"/>
      <w:lang w:val="ro-MD" w:eastAsia="en-US"/>
      <w14:ligatures w14:val="standardContextual"/>
    </w:rPr>
  </w:style>
  <w:style w:type="paragraph" w:customStyle="1" w:styleId="CM3">
    <w:name w:val="CM3"/>
    <w:basedOn w:val="Normal"/>
    <w:next w:val="Normal"/>
    <w:uiPriority w:val="99"/>
    <w:rsid w:val="006B4614"/>
    <w:pPr>
      <w:autoSpaceDE w:val="0"/>
      <w:autoSpaceDN w:val="0"/>
      <w:adjustRightInd w:val="0"/>
    </w:pPr>
    <w:rPr>
      <w:rFonts w:eastAsiaTheme="minorHAnsi"/>
      <w:lang w:val="ro-MD" w:eastAsia="en-US"/>
      <w14:ligatures w14:val="standardContextual"/>
    </w:rPr>
  </w:style>
  <w:style w:type="paragraph" w:customStyle="1" w:styleId="CM4">
    <w:name w:val="CM4"/>
    <w:basedOn w:val="Normal"/>
    <w:next w:val="Normal"/>
    <w:uiPriority w:val="99"/>
    <w:rsid w:val="006B4614"/>
    <w:pPr>
      <w:autoSpaceDE w:val="0"/>
      <w:autoSpaceDN w:val="0"/>
      <w:adjustRightInd w:val="0"/>
    </w:pPr>
    <w:rPr>
      <w:rFonts w:eastAsiaTheme="minorHAnsi"/>
      <w:lang w:val="ro-MD" w:eastAsia="en-US"/>
      <w14:ligatures w14:val="standardContextual"/>
    </w:rPr>
  </w:style>
  <w:style w:type="paragraph" w:styleId="NormalWeb">
    <w:name w:val="Normal (Web)"/>
    <w:basedOn w:val="Normal"/>
    <w:uiPriority w:val="99"/>
    <w:semiHidden/>
    <w:unhideWhenUsed/>
    <w:rsid w:val="00785C39"/>
    <w:pPr>
      <w:spacing w:before="100" w:beforeAutospacing="1" w:after="100" w:afterAutospacing="1"/>
    </w:pPr>
    <w:rPr>
      <w:lang w:val="ro-MD" w:eastAsia="ro-MD"/>
    </w:rPr>
  </w:style>
  <w:style w:type="character" w:styleId="CommentReference">
    <w:name w:val="annotation reference"/>
    <w:basedOn w:val="DefaultParagraphFont"/>
    <w:uiPriority w:val="99"/>
    <w:semiHidden/>
    <w:unhideWhenUsed/>
    <w:rsid w:val="00304C50"/>
    <w:rPr>
      <w:sz w:val="16"/>
      <w:szCs w:val="16"/>
    </w:rPr>
  </w:style>
  <w:style w:type="paragraph" w:styleId="CommentText">
    <w:name w:val="annotation text"/>
    <w:basedOn w:val="Normal"/>
    <w:link w:val="CommentTextChar"/>
    <w:uiPriority w:val="99"/>
    <w:unhideWhenUsed/>
    <w:rsid w:val="00304C50"/>
    <w:pPr>
      <w:spacing w:after="160"/>
    </w:pPr>
    <w:rPr>
      <w:rFonts w:asciiTheme="minorHAnsi" w:eastAsiaTheme="minorHAnsi" w:hAnsiTheme="minorHAnsi" w:cstheme="minorBidi"/>
      <w:sz w:val="20"/>
      <w:szCs w:val="20"/>
      <w:lang w:val="ro-MD" w:eastAsia="en-US"/>
    </w:rPr>
  </w:style>
  <w:style w:type="character" w:customStyle="1" w:styleId="CommentTextChar">
    <w:name w:val="Comment Text Char"/>
    <w:basedOn w:val="DefaultParagraphFont"/>
    <w:link w:val="CommentText"/>
    <w:uiPriority w:val="99"/>
    <w:rsid w:val="00304C50"/>
    <w:rPr>
      <w:kern w:val="0"/>
      <w:sz w:val="20"/>
      <w:szCs w:val="20"/>
      <w14:ligatures w14:val="none"/>
    </w:rPr>
  </w:style>
  <w:style w:type="paragraph" w:customStyle="1" w:styleId="toc-item">
    <w:name w:val="toc-item"/>
    <w:basedOn w:val="Normal"/>
    <w:rsid w:val="002A7538"/>
    <w:pPr>
      <w:spacing w:before="100" w:beforeAutospacing="1" w:after="100" w:afterAutospacing="1"/>
    </w:pPr>
    <w:rPr>
      <w:lang w:val="ro-MD" w:eastAsia="ro-MD"/>
    </w:rPr>
  </w:style>
  <w:style w:type="paragraph" w:styleId="Revision">
    <w:name w:val="Revision"/>
    <w:hidden/>
    <w:uiPriority w:val="99"/>
    <w:semiHidden/>
    <w:rsid w:val="00F10603"/>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CommentSubject">
    <w:name w:val="annotation subject"/>
    <w:basedOn w:val="CommentText"/>
    <w:next w:val="CommentText"/>
    <w:link w:val="CommentSubjectChar"/>
    <w:uiPriority w:val="99"/>
    <w:semiHidden/>
    <w:unhideWhenUsed/>
    <w:rsid w:val="00125C20"/>
    <w:pPr>
      <w:spacing w:after="0"/>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125C20"/>
    <w:rPr>
      <w:rFonts w:ascii="Times New Roman" w:eastAsia="Times New Roman" w:hAnsi="Times New Roman" w:cs="Times New Roman"/>
      <w:b/>
      <w:bCs/>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2677">
      <w:bodyDiv w:val="1"/>
      <w:marLeft w:val="0"/>
      <w:marRight w:val="0"/>
      <w:marTop w:val="0"/>
      <w:marBottom w:val="0"/>
      <w:divBdr>
        <w:top w:val="none" w:sz="0" w:space="0" w:color="auto"/>
        <w:left w:val="none" w:sz="0" w:space="0" w:color="auto"/>
        <w:bottom w:val="none" w:sz="0" w:space="0" w:color="auto"/>
        <w:right w:val="none" w:sz="0" w:space="0" w:color="auto"/>
      </w:divBdr>
    </w:div>
    <w:div w:id="535655609">
      <w:bodyDiv w:val="1"/>
      <w:marLeft w:val="0"/>
      <w:marRight w:val="0"/>
      <w:marTop w:val="0"/>
      <w:marBottom w:val="0"/>
      <w:divBdr>
        <w:top w:val="none" w:sz="0" w:space="0" w:color="auto"/>
        <w:left w:val="none" w:sz="0" w:space="0" w:color="auto"/>
        <w:bottom w:val="none" w:sz="0" w:space="0" w:color="auto"/>
        <w:right w:val="none" w:sz="0" w:space="0" w:color="auto"/>
      </w:divBdr>
    </w:div>
    <w:div w:id="1038507029">
      <w:bodyDiv w:val="1"/>
      <w:marLeft w:val="0"/>
      <w:marRight w:val="0"/>
      <w:marTop w:val="0"/>
      <w:marBottom w:val="0"/>
      <w:divBdr>
        <w:top w:val="none" w:sz="0" w:space="0" w:color="auto"/>
        <w:left w:val="none" w:sz="0" w:space="0" w:color="auto"/>
        <w:bottom w:val="none" w:sz="0" w:space="0" w:color="auto"/>
        <w:right w:val="none" w:sz="0" w:space="0" w:color="auto"/>
      </w:divBdr>
    </w:div>
    <w:div w:id="1720206050">
      <w:bodyDiv w:val="1"/>
      <w:marLeft w:val="0"/>
      <w:marRight w:val="0"/>
      <w:marTop w:val="0"/>
      <w:marBottom w:val="0"/>
      <w:divBdr>
        <w:top w:val="none" w:sz="0" w:space="0" w:color="auto"/>
        <w:left w:val="none" w:sz="0" w:space="0" w:color="auto"/>
        <w:bottom w:val="none" w:sz="0" w:space="0" w:color="auto"/>
        <w:right w:val="none" w:sz="0" w:space="0" w:color="auto"/>
      </w:divBdr>
    </w:div>
    <w:div w:id="1943561094">
      <w:bodyDiv w:val="1"/>
      <w:marLeft w:val="0"/>
      <w:marRight w:val="0"/>
      <w:marTop w:val="0"/>
      <w:marBottom w:val="0"/>
      <w:divBdr>
        <w:top w:val="none" w:sz="0" w:space="0" w:color="auto"/>
        <w:left w:val="none" w:sz="0" w:space="0" w:color="auto"/>
        <w:bottom w:val="none" w:sz="0" w:space="0" w:color="auto"/>
        <w:right w:val="none" w:sz="0" w:space="0" w:color="auto"/>
      </w:divBdr>
    </w:div>
    <w:div w:id="20005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198A-89EA-41BB-A788-FCDBD7035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3446D-9FFA-4CE7-9C51-10EF7718C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6B1F94-C683-4026-9306-6EE4A8E1F5CE}">
  <ds:schemaRefs>
    <ds:schemaRef ds:uri="http://schemas.microsoft.com/sharepoint/v3/contenttype/forms"/>
  </ds:schemaRefs>
</ds:datastoreItem>
</file>

<file path=customXml/itemProps4.xml><?xml version="1.0" encoding="utf-8"?>
<ds:datastoreItem xmlns:ds="http://schemas.openxmlformats.org/officeDocument/2006/customXml" ds:itemID="{E8845D97-DE16-43DE-86E1-8B366974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32153</Words>
  <Characters>183274</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I. Chicu</dc:creator>
  <cp:keywords/>
  <dc:description/>
  <cp:lastModifiedBy>Ion V. Nicorici</cp:lastModifiedBy>
  <cp:revision>2</cp:revision>
  <dcterms:created xsi:type="dcterms:W3CDTF">2023-12-13T14:31:00Z</dcterms:created>
  <dcterms:modified xsi:type="dcterms:W3CDTF">2023-12-13T14:31:00Z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eb8bd3ec-3400-42ef-ab92-22dc9a53781d</vt:lpwstr>
  </property>
  <property fmtid="{D5CDD505-2E9C-101B-9397-08002B2CF9AE}" pid="3" name="Clasificare">
    <vt:lpwstr>NONE</vt:lpwstr>
  </property>
  <property fmtid="{D5CDD505-2E9C-101B-9397-08002B2CF9AE}" pid="4" name="ContentTypeId">
    <vt:lpwstr>0x01010041CC8FD9FC602D47942046F00E7457D2</vt:lpwstr>
  </property>
</Properties>
</file>